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00" w:rsidRPr="00B653EB" w:rsidRDefault="007D1600" w:rsidP="007D1600">
      <w:pPr>
        <w:spacing w:after="120"/>
        <w:ind w:firstLine="709"/>
        <w:jc w:val="both"/>
        <w:rPr>
          <w:b/>
          <w:i/>
          <w:sz w:val="26"/>
          <w:szCs w:val="24"/>
        </w:rPr>
      </w:pPr>
      <w:bookmarkStart w:id="0" w:name="_GoBack"/>
      <w:r w:rsidRPr="00B653EB">
        <w:rPr>
          <w:b/>
          <w:sz w:val="26"/>
          <w:szCs w:val="24"/>
        </w:rPr>
        <w:t xml:space="preserve">Thủ tục: </w:t>
      </w:r>
      <w:r w:rsidRPr="00B653EB">
        <w:rPr>
          <w:b/>
          <w:i/>
          <w:sz w:val="26"/>
          <w:szCs w:val="24"/>
        </w:rPr>
        <w:t>Công nhận huyện đạt chuẩn phổ cập giáo dục, xóa mù chữ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7152"/>
      </w:tblGrid>
      <w:tr w:rsidR="007D1600" w:rsidRPr="007E46B7" w:rsidTr="004E0A08">
        <w:tc>
          <w:tcPr>
            <w:tcW w:w="2487" w:type="dxa"/>
            <w:shd w:val="clear" w:color="auto" w:fill="auto"/>
          </w:tcPr>
          <w:bookmarkEnd w:id="0"/>
          <w:p w:rsidR="007D1600" w:rsidRPr="00134FEF" w:rsidRDefault="007D1600" w:rsidP="004E0A08">
            <w:pPr>
              <w:tabs>
                <w:tab w:val="left" w:pos="132"/>
              </w:tabs>
              <w:jc w:val="both"/>
              <w:rPr>
                <w:b/>
                <w:sz w:val="24"/>
                <w:szCs w:val="24"/>
              </w:rPr>
            </w:pPr>
            <w:r w:rsidRPr="00134FEF">
              <w:rPr>
                <w:b/>
                <w:sz w:val="24"/>
                <w:szCs w:val="24"/>
              </w:rPr>
              <w:t>Trình tự thực hiện</w:t>
            </w:r>
          </w:p>
        </w:tc>
        <w:tc>
          <w:tcPr>
            <w:tcW w:w="7152" w:type="dxa"/>
            <w:shd w:val="clear" w:color="auto" w:fill="auto"/>
          </w:tcPr>
          <w:p w:rsidR="007D1600" w:rsidRPr="00134FEF" w:rsidRDefault="007D1600" w:rsidP="004E0A08">
            <w:pPr>
              <w:jc w:val="both"/>
              <w:rPr>
                <w:sz w:val="24"/>
                <w:szCs w:val="24"/>
              </w:rPr>
            </w:pPr>
            <w:r w:rsidRPr="00134FEF">
              <w:rPr>
                <w:b/>
                <w:bCs/>
                <w:sz w:val="24"/>
                <w:szCs w:val="24"/>
                <w:u w:val="single"/>
              </w:rPr>
              <w:t>Bước 1:</w:t>
            </w:r>
            <w:r w:rsidRPr="00134FEF">
              <w:rPr>
                <w:sz w:val="24"/>
                <w:szCs w:val="24"/>
              </w:rPr>
              <w:t xml:space="preserve"> </w:t>
            </w:r>
            <w:r>
              <w:rPr>
                <w:sz w:val="24"/>
                <w:szCs w:val="24"/>
              </w:rPr>
              <w:t>Ủy ban nhân dân</w:t>
            </w:r>
            <w:r w:rsidRPr="00134FEF">
              <w:rPr>
                <w:sz w:val="24"/>
                <w:szCs w:val="24"/>
              </w:rPr>
              <w:t xml:space="preserve"> cấp h</w:t>
            </w:r>
            <w:r w:rsidRPr="00134FEF">
              <w:rPr>
                <w:bCs/>
                <w:sz w:val="24"/>
                <w:szCs w:val="24"/>
              </w:rPr>
              <w:t xml:space="preserve">uyện kiểm tra công nhận xã và lập hồ sơ đề nghị tỉnh kiểm tra công nhận huyện đạt chuẩn phổ cập giáo dục, xóa mù chữ. </w:t>
            </w:r>
          </w:p>
          <w:p w:rsidR="007D1600" w:rsidRPr="00134FEF" w:rsidRDefault="007D1600" w:rsidP="004E0A08">
            <w:pPr>
              <w:pStyle w:val="Footer"/>
              <w:tabs>
                <w:tab w:val="clear" w:pos="4320"/>
                <w:tab w:val="clear" w:pos="8640"/>
              </w:tabs>
              <w:jc w:val="both"/>
              <w:rPr>
                <w:rFonts w:ascii="Times New Roman" w:hAnsi="Times New Roman"/>
                <w:color w:val="000000"/>
              </w:rPr>
            </w:pPr>
            <w:r w:rsidRPr="00134FEF">
              <w:rPr>
                <w:rFonts w:ascii="Times New Roman" w:hAnsi="Times New Roman"/>
                <w:b/>
                <w:bCs/>
                <w:u w:val="single"/>
              </w:rPr>
              <w:t>Bước 2:</w:t>
            </w:r>
            <w:r w:rsidRPr="00134FEF">
              <w:rPr>
                <w:rFonts w:ascii="Times New Roman" w:hAnsi="Times New Roman"/>
              </w:rPr>
              <w:t xml:space="preserve"> Nộp hồ sơ tại </w:t>
            </w:r>
            <w:r w:rsidRPr="00134FEF">
              <w:rPr>
                <w:rFonts w:ascii="Times New Roman" w:hAnsi="Times New Roman"/>
                <w:color w:val="000000"/>
              </w:rPr>
              <w:t xml:space="preserve">Bộ phận “Một cửa” Sở Giáo dục và Đào tạo. </w:t>
            </w:r>
          </w:p>
          <w:p w:rsidR="007D1600" w:rsidRPr="00801C82" w:rsidRDefault="007D1600" w:rsidP="004E0A08">
            <w:pPr>
              <w:pStyle w:val="BodyText"/>
              <w:tabs>
                <w:tab w:val="left" w:pos="132"/>
              </w:tabs>
              <w:spacing w:before="0"/>
              <w:rPr>
                <w:sz w:val="24"/>
                <w:szCs w:val="24"/>
                <w:lang w:val="en-US"/>
              </w:rPr>
            </w:pPr>
            <w:r w:rsidRPr="00801C82">
              <w:rPr>
                <w:sz w:val="24"/>
                <w:szCs w:val="24"/>
                <w:lang w:val="en-US"/>
              </w:rPr>
              <w:t>-</w:t>
            </w:r>
            <w:r w:rsidRPr="008E7669">
              <w:rPr>
                <w:sz w:val="24"/>
                <w:szCs w:val="24"/>
                <w:lang w:val="vi-VN"/>
              </w:rPr>
              <w:t xml:space="preserve"> </w:t>
            </w:r>
            <w:r w:rsidRPr="00801C82">
              <w:rPr>
                <w:sz w:val="24"/>
                <w:szCs w:val="24"/>
                <w:lang w:val="en-US"/>
              </w:rPr>
              <w:t>Địa chỉ: 22 Nguyễn Thái Học, thành phố Kon Tum, tỉnh Kon Tum.</w:t>
            </w:r>
          </w:p>
          <w:p w:rsidR="007D1600" w:rsidRPr="00134FEF" w:rsidRDefault="007D1600" w:rsidP="004E0A08">
            <w:pPr>
              <w:pStyle w:val="BodyText"/>
              <w:tabs>
                <w:tab w:val="left" w:pos="132"/>
              </w:tabs>
              <w:spacing w:before="0"/>
              <w:rPr>
                <w:color w:val="000000"/>
                <w:sz w:val="24"/>
                <w:szCs w:val="24"/>
                <w:lang w:val="vi-VN"/>
              </w:rPr>
            </w:pPr>
            <w:r w:rsidRPr="00801C82">
              <w:rPr>
                <w:color w:val="000000"/>
                <w:sz w:val="24"/>
                <w:szCs w:val="24"/>
                <w:lang w:val="en-US"/>
              </w:rPr>
              <w:t xml:space="preserve">- </w:t>
            </w:r>
            <w:r w:rsidRPr="00134FEF">
              <w:rPr>
                <w:color w:val="000000"/>
                <w:sz w:val="24"/>
                <w:szCs w:val="24"/>
                <w:lang w:val="vi-VN"/>
              </w:rPr>
              <w:t>Thời gian: Buổi sáng từ 7h00 - 11h00 và buổi chiều từ 13h00 - 17h00 các ngày từ thứ 2 đến thứ 6 hàng tuần (trừ các ngày nghỉ lễ).</w:t>
            </w:r>
          </w:p>
          <w:p w:rsidR="007D1600" w:rsidRPr="007E46B7" w:rsidRDefault="007D1600" w:rsidP="004E0A08">
            <w:pPr>
              <w:pStyle w:val="Footer"/>
              <w:tabs>
                <w:tab w:val="clear" w:pos="4320"/>
                <w:tab w:val="clear" w:pos="8640"/>
              </w:tabs>
              <w:jc w:val="both"/>
              <w:rPr>
                <w:rFonts w:ascii="Times New Roman" w:hAnsi="Times New Roman"/>
                <w:lang w:val="vi-VN"/>
              </w:rPr>
            </w:pPr>
            <w:r w:rsidRPr="007E46B7">
              <w:rPr>
                <w:rFonts w:ascii="Times New Roman" w:hAnsi="Times New Roman"/>
                <w:b/>
                <w:bCs/>
                <w:u w:val="single"/>
                <w:lang w:val="vi-VN"/>
              </w:rPr>
              <w:t>Bước 3:</w:t>
            </w:r>
            <w:r w:rsidRPr="007E46B7">
              <w:rPr>
                <w:rFonts w:ascii="Times New Roman" w:hAnsi="Times New Roman"/>
                <w:lang w:val="vi-VN"/>
              </w:rPr>
              <w:t xml:space="preserve"> Sở Giáo dục và Đào tạo kiểm tra tính hợp lệ và đầy đủ của hồ sơ, tham mưu Ủy ban nhân dân tỉnh thành lập đoàn kiểm tra thực tế và ra quyết định c</w:t>
            </w:r>
            <w:r w:rsidRPr="007E46B7">
              <w:rPr>
                <w:rFonts w:ascii="Times New Roman" w:hAnsi="Times New Roman"/>
                <w:color w:val="000000"/>
                <w:lang w:val="vi-VN"/>
              </w:rPr>
              <w:t>ông nhận huyện đạt chuẩn phổ cập giáo dục, xóa mù chữ.</w:t>
            </w:r>
          </w:p>
          <w:p w:rsidR="007D1600" w:rsidRPr="007E46B7" w:rsidRDefault="007D1600" w:rsidP="004E0A08">
            <w:pPr>
              <w:jc w:val="both"/>
              <w:rPr>
                <w:color w:val="000000"/>
                <w:sz w:val="24"/>
                <w:szCs w:val="24"/>
                <w:lang w:val="vi-VN"/>
              </w:rPr>
            </w:pPr>
            <w:r w:rsidRPr="007E46B7">
              <w:rPr>
                <w:b/>
                <w:bCs/>
                <w:sz w:val="24"/>
                <w:szCs w:val="24"/>
                <w:u w:val="single"/>
                <w:lang w:val="vi-VN"/>
              </w:rPr>
              <w:t>Bước 4:</w:t>
            </w:r>
            <w:r w:rsidRPr="007E46B7">
              <w:rPr>
                <w:sz w:val="24"/>
                <w:szCs w:val="24"/>
                <w:lang w:val="vi-VN"/>
              </w:rPr>
              <w:t xml:space="preserve"> Trả kết quả tại </w:t>
            </w:r>
            <w:r w:rsidRPr="007E46B7">
              <w:rPr>
                <w:color w:val="000000"/>
                <w:sz w:val="24"/>
                <w:szCs w:val="24"/>
                <w:lang w:val="vi-VN"/>
              </w:rPr>
              <w:t>Bộ phận “Một cửa” Sở Giáo dục và Đào tạo.</w:t>
            </w:r>
          </w:p>
          <w:p w:rsidR="007D1600" w:rsidRPr="007E46B7" w:rsidRDefault="007D1600" w:rsidP="004E0A08">
            <w:pPr>
              <w:jc w:val="both"/>
              <w:rPr>
                <w:sz w:val="24"/>
                <w:szCs w:val="24"/>
                <w:lang w:val="vi-VN"/>
              </w:rPr>
            </w:pPr>
            <w:r w:rsidRPr="00B653EB">
              <w:rPr>
                <w:color w:val="000000"/>
                <w:sz w:val="24"/>
                <w:szCs w:val="24"/>
                <w:lang w:val="vi-VN"/>
              </w:rPr>
              <w:t>-</w:t>
            </w:r>
            <w:r w:rsidRPr="007E46B7">
              <w:rPr>
                <w:color w:val="000000"/>
                <w:sz w:val="24"/>
                <w:szCs w:val="24"/>
                <w:lang w:val="vi-VN"/>
              </w:rPr>
              <w:t xml:space="preserve"> Thời gian: Buổi sáng từ 7h00-11h00 và buổi chiều từ 13h00-17h00 các ngày từ thứ 2 đến thứ 6 hàng tuần (trừ các ngày nghỉ lễ). </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Cách thức thực hiện</w:t>
            </w:r>
          </w:p>
        </w:tc>
        <w:tc>
          <w:tcPr>
            <w:tcW w:w="7152" w:type="dxa"/>
            <w:shd w:val="clear" w:color="auto" w:fill="auto"/>
          </w:tcPr>
          <w:p w:rsidR="007D1600" w:rsidRPr="00134FEF" w:rsidRDefault="007D1600" w:rsidP="004E0A08">
            <w:pPr>
              <w:jc w:val="both"/>
              <w:rPr>
                <w:color w:val="000000"/>
                <w:sz w:val="24"/>
                <w:szCs w:val="24"/>
              </w:rPr>
            </w:pPr>
            <w:r w:rsidRPr="00134FEF">
              <w:rPr>
                <w:color w:val="000000"/>
                <w:sz w:val="24"/>
                <w:szCs w:val="24"/>
              </w:rPr>
              <w:t>Trực tiếp tại trụ sở cơ quan hành chính hoặc qua đường bưu điện</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Thành phần, số lượng hồ sơ</w:t>
            </w:r>
          </w:p>
        </w:tc>
        <w:tc>
          <w:tcPr>
            <w:tcW w:w="7152" w:type="dxa"/>
            <w:shd w:val="clear" w:color="auto" w:fill="auto"/>
          </w:tcPr>
          <w:p w:rsidR="007D1600" w:rsidRPr="00134FEF" w:rsidRDefault="007D1600" w:rsidP="004E0A08">
            <w:pPr>
              <w:pStyle w:val="NormalWeb"/>
              <w:shd w:val="clear" w:color="auto" w:fill="FFFFFF"/>
              <w:spacing w:before="0" w:beforeAutospacing="0" w:after="0" w:afterAutospacing="0"/>
              <w:jc w:val="both"/>
            </w:pPr>
            <w:r w:rsidRPr="00134FEF">
              <w:t>a) Thành phần hồ sơ bao gồm:</w:t>
            </w:r>
          </w:p>
          <w:p w:rsidR="007D1600" w:rsidRPr="00134FEF" w:rsidRDefault="007D1600" w:rsidP="004E0A08">
            <w:pPr>
              <w:pStyle w:val="NormalWeb"/>
              <w:shd w:val="clear" w:color="auto" w:fill="FFFFFF"/>
              <w:spacing w:before="0" w:beforeAutospacing="0" w:after="0" w:afterAutospacing="0"/>
              <w:jc w:val="both"/>
              <w:rPr>
                <w:color w:val="000000"/>
              </w:rPr>
            </w:pPr>
            <w:r w:rsidRPr="00134FEF">
              <w:rPr>
                <w:color w:val="000000"/>
              </w:rPr>
              <w:t>- Phiếu điều tra phổ cập giáo dục, xóa mù chữ;</w:t>
            </w:r>
          </w:p>
          <w:p w:rsidR="007D1600" w:rsidRPr="00134FEF" w:rsidRDefault="007D1600" w:rsidP="004E0A08">
            <w:pPr>
              <w:pStyle w:val="NormalWeb"/>
              <w:shd w:val="clear" w:color="auto" w:fill="FFFFFF"/>
              <w:spacing w:before="0" w:beforeAutospacing="0" w:after="0" w:afterAutospacing="0"/>
              <w:jc w:val="both"/>
              <w:rPr>
                <w:color w:val="000000"/>
              </w:rPr>
            </w:pPr>
            <w:r w:rsidRPr="00134FEF">
              <w:rPr>
                <w:color w:val="000000"/>
              </w:rPr>
              <w:t>- Sổ theo dõi phổ cập giáo dục, xóa mù chữ;</w:t>
            </w:r>
          </w:p>
          <w:p w:rsidR="007D1600" w:rsidRPr="00134FEF" w:rsidRDefault="007D1600" w:rsidP="004E0A08">
            <w:pPr>
              <w:pStyle w:val="NormalWeb"/>
              <w:shd w:val="clear" w:color="auto" w:fill="FFFFFF"/>
              <w:spacing w:before="0" w:beforeAutospacing="0" w:after="0" w:afterAutospacing="0"/>
              <w:jc w:val="both"/>
              <w:rPr>
                <w:color w:val="000000"/>
              </w:rPr>
            </w:pPr>
            <w:r w:rsidRPr="00134FEF">
              <w:rPr>
                <w:color w:val="000000"/>
              </w:rPr>
              <w:t>- Danh sách trẻ em hoàn thành chương trình giáo dục mầm non (đối với phổ cập giáo dục mầm non); danh sách học sinh hoàn thành chương trình giáo dục tiểu học (đối với phổ cập giáo dục tiểu học); danh sách học sinh tốt nghiệp trung học cơ sở; danh sách học sinh có chứng chỉ nghề (đối với phổ cập giáo dục trung học cơ sở); danh sách học viên được công nhận biết chữ theo các mức độ (đối với xóa mù chữ).</w:t>
            </w:r>
          </w:p>
          <w:p w:rsidR="007D1600" w:rsidRPr="00134FEF" w:rsidRDefault="007D1600" w:rsidP="004E0A08">
            <w:pPr>
              <w:pStyle w:val="NormalWeb"/>
              <w:shd w:val="clear" w:color="auto" w:fill="FFFFFF"/>
              <w:spacing w:before="0" w:beforeAutospacing="0" w:after="0" w:afterAutospacing="0"/>
              <w:jc w:val="both"/>
              <w:rPr>
                <w:color w:val="000000"/>
              </w:rPr>
            </w:pPr>
            <w:r w:rsidRPr="00134FEF">
              <w:rPr>
                <w:color w:val="000000"/>
              </w:rPr>
              <w:t>Ngoài thành phần trên cần bổ sung thêm:</w:t>
            </w:r>
          </w:p>
          <w:p w:rsidR="007D1600" w:rsidRPr="00134FEF" w:rsidRDefault="007D1600" w:rsidP="004E0A08">
            <w:pPr>
              <w:pStyle w:val="NormalWeb"/>
              <w:shd w:val="clear" w:color="auto" w:fill="FFFFFF"/>
              <w:spacing w:before="0" w:beforeAutospacing="0" w:after="0" w:afterAutospacing="0"/>
              <w:jc w:val="both"/>
              <w:rPr>
                <w:color w:val="000000"/>
              </w:rPr>
            </w:pPr>
            <w:r w:rsidRPr="00134FEF">
              <w:rPr>
                <w:color w:val="000000"/>
              </w:rPr>
              <w:t>- Báo cáo quá trình thực hiện và kết quả phổ cập giáo dục hoặc xóa mù chữ kèm theo các biểu thống kê;</w:t>
            </w:r>
          </w:p>
          <w:p w:rsidR="007D1600" w:rsidRPr="00134FEF" w:rsidRDefault="007D1600" w:rsidP="004E0A08">
            <w:pPr>
              <w:pStyle w:val="NormalWeb"/>
              <w:shd w:val="clear" w:color="auto" w:fill="FFFFFF"/>
              <w:spacing w:before="0" w:beforeAutospacing="0" w:after="0" w:afterAutospacing="0"/>
              <w:jc w:val="both"/>
              <w:rPr>
                <w:color w:val="000000"/>
              </w:rPr>
            </w:pPr>
            <w:r w:rsidRPr="00134FEF">
              <w:rPr>
                <w:color w:val="000000"/>
              </w:rPr>
              <w:t>- Biên bản tự kiểm tra phổ cập giáo dục hoặc xóa mù chữ.</w:t>
            </w:r>
          </w:p>
          <w:p w:rsidR="007D1600" w:rsidRPr="00134FEF" w:rsidRDefault="007D1600" w:rsidP="004E0A08">
            <w:pPr>
              <w:pStyle w:val="Footer"/>
              <w:tabs>
                <w:tab w:val="clear" w:pos="4320"/>
                <w:tab w:val="clear" w:pos="8640"/>
              </w:tabs>
              <w:jc w:val="both"/>
              <w:rPr>
                <w:rFonts w:ascii="Times New Roman" w:hAnsi="Times New Roman"/>
              </w:rPr>
            </w:pPr>
            <w:r w:rsidRPr="00134FEF">
              <w:rPr>
                <w:rFonts w:ascii="Times New Roman" w:hAnsi="Times New Roman"/>
                <w:color w:val="000000"/>
              </w:rPr>
              <w:t xml:space="preserve">- Quyết </w:t>
            </w:r>
            <w:r w:rsidRPr="00134FEF">
              <w:rPr>
                <w:rFonts w:ascii="Times New Roman" w:hAnsi="Times New Roman"/>
              </w:rPr>
              <w:t>định c</w:t>
            </w:r>
            <w:r w:rsidRPr="00134FEF">
              <w:rPr>
                <w:rFonts w:ascii="Times New Roman" w:hAnsi="Times New Roman"/>
                <w:color w:val="000000"/>
              </w:rPr>
              <w:t>ông nhận xã đạt chuẩn phổ cập giáo dục hoặc xóa mù chữ.</w:t>
            </w:r>
          </w:p>
          <w:p w:rsidR="007D1600" w:rsidRPr="00134FEF" w:rsidRDefault="007D1600" w:rsidP="004E0A08">
            <w:pPr>
              <w:jc w:val="both"/>
              <w:rPr>
                <w:sz w:val="24"/>
                <w:szCs w:val="24"/>
                <w:lang w:val="pt-BR"/>
              </w:rPr>
            </w:pPr>
            <w:r w:rsidRPr="00134FEF">
              <w:rPr>
                <w:sz w:val="24"/>
                <w:szCs w:val="24"/>
                <w:lang w:val="pt-BR"/>
              </w:rPr>
              <w:t xml:space="preserve"> b) Số lượng hồ sơ: 01 (bộ).</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Thời gian giải quyết</w:t>
            </w:r>
          </w:p>
        </w:tc>
        <w:tc>
          <w:tcPr>
            <w:tcW w:w="7152" w:type="dxa"/>
            <w:shd w:val="clear" w:color="auto" w:fill="auto"/>
          </w:tcPr>
          <w:p w:rsidR="007D1600" w:rsidRPr="00E93DD0" w:rsidRDefault="007D1600" w:rsidP="004E0A08">
            <w:pPr>
              <w:jc w:val="both"/>
              <w:rPr>
                <w:sz w:val="24"/>
                <w:szCs w:val="24"/>
              </w:rPr>
            </w:pPr>
            <w:r w:rsidRPr="00E93DD0">
              <w:rPr>
                <w:sz w:val="24"/>
                <w:szCs w:val="24"/>
              </w:rPr>
              <w:t>Không được quy định</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Cơ quan thực hiện</w:t>
            </w:r>
          </w:p>
        </w:tc>
        <w:tc>
          <w:tcPr>
            <w:tcW w:w="7152" w:type="dxa"/>
            <w:shd w:val="clear" w:color="auto" w:fill="auto"/>
          </w:tcPr>
          <w:p w:rsidR="007D1600" w:rsidRPr="00134FEF" w:rsidRDefault="007D1600" w:rsidP="004E0A08">
            <w:pPr>
              <w:jc w:val="both"/>
              <w:rPr>
                <w:sz w:val="24"/>
                <w:szCs w:val="24"/>
              </w:rPr>
            </w:pPr>
            <w:r w:rsidRPr="00134FEF">
              <w:rPr>
                <w:sz w:val="24"/>
                <w:szCs w:val="24"/>
              </w:rPr>
              <w:t>- Cơ quan có thẩm quyền quyết định: Uỷ ban nhân dân tỉnh.</w:t>
            </w:r>
          </w:p>
          <w:p w:rsidR="007D1600" w:rsidRPr="00134FEF" w:rsidRDefault="007D1600" w:rsidP="004E0A08">
            <w:pPr>
              <w:jc w:val="both"/>
              <w:rPr>
                <w:sz w:val="24"/>
                <w:szCs w:val="24"/>
              </w:rPr>
            </w:pPr>
            <w:r w:rsidRPr="00134FEF">
              <w:rPr>
                <w:sz w:val="24"/>
                <w:szCs w:val="24"/>
              </w:rPr>
              <w:t>- Cơ quan phối hợp: Sở Giáo dục và Đào tạo</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Đối tượng thực hiện</w:t>
            </w:r>
          </w:p>
        </w:tc>
        <w:tc>
          <w:tcPr>
            <w:tcW w:w="7152" w:type="dxa"/>
            <w:shd w:val="clear" w:color="auto" w:fill="auto"/>
          </w:tcPr>
          <w:p w:rsidR="007D1600" w:rsidRPr="00134FEF" w:rsidRDefault="007D1600" w:rsidP="004E0A08">
            <w:pPr>
              <w:jc w:val="both"/>
              <w:rPr>
                <w:sz w:val="24"/>
                <w:szCs w:val="24"/>
              </w:rPr>
            </w:pPr>
            <w:r w:rsidRPr="00134FEF">
              <w:rPr>
                <w:sz w:val="24"/>
                <w:szCs w:val="24"/>
              </w:rPr>
              <w:t>Tổ chức</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Kết quả</w:t>
            </w:r>
          </w:p>
        </w:tc>
        <w:tc>
          <w:tcPr>
            <w:tcW w:w="7152" w:type="dxa"/>
            <w:shd w:val="clear" w:color="auto" w:fill="auto"/>
          </w:tcPr>
          <w:p w:rsidR="007D1600" w:rsidRPr="00134FEF" w:rsidRDefault="007D1600" w:rsidP="004E0A08">
            <w:pPr>
              <w:jc w:val="both"/>
              <w:rPr>
                <w:sz w:val="24"/>
                <w:szCs w:val="24"/>
              </w:rPr>
            </w:pPr>
            <w:r w:rsidRPr="00134FEF">
              <w:rPr>
                <w:sz w:val="24"/>
                <w:szCs w:val="24"/>
              </w:rPr>
              <w:t>Quyết định hành chính</w:t>
            </w:r>
            <w:r w:rsidRPr="00134FEF">
              <w:rPr>
                <w:color w:val="000000"/>
                <w:sz w:val="24"/>
                <w:szCs w:val="24"/>
              </w:rPr>
              <w:t>.</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Lệ phí</w:t>
            </w:r>
          </w:p>
        </w:tc>
        <w:tc>
          <w:tcPr>
            <w:tcW w:w="7152" w:type="dxa"/>
            <w:shd w:val="clear" w:color="auto" w:fill="auto"/>
          </w:tcPr>
          <w:p w:rsidR="007D1600" w:rsidRPr="00134FEF" w:rsidRDefault="007D1600" w:rsidP="004E0A08">
            <w:pPr>
              <w:jc w:val="both"/>
              <w:rPr>
                <w:sz w:val="24"/>
                <w:szCs w:val="24"/>
              </w:rPr>
            </w:pPr>
            <w:r w:rsidRPr="00134FEF">
              <w:rPr>
                <w:sz w:val="24"/>
                <w:szCs w:val="24"/>
              </w:rPr>
              <w:t>Không</w:t>
            </w:r>
          </w:p>
        </w:tc>
      </w:tr>
      <w:tr w:rsidR="007D1600" w:rsidRPr="00134FEF" w:rsidTr="004E0A08">
        <w:tc>
          <w:tcPr>
            <w:tcW w:w="2487" w:type="dxa"/>
            <w:tcBorders>
              <w:bottom w:val="single" w:sz="4" w:space="0" w:color="auto"/>
            </w:tcBorders>
            <w:shd w:val="clear" w:color="auto" w:fill="auto"/>
          </w:tcPr>
          <w:p w:rsidR="007D1600" w:rsidRPr="00134FEF" w:rsidRDefault="007D1600" w:rsidP="004E0A08">
            <w:pPr>
              <w:tabs>
                <w:tab w:val="left" w:pos="132"/>
              </w:tabs>
              <w:jc w:val="both"/>
              <w:rPr>
                <w:b/>
                <w:sz w:val="24"/>
                <w:szCs w:val="24"/>
              </w:rPr>
            </w:pPr>
            <w:r w:rsidRPr="00134FEF">
              <w:rPr>
                <w:b/>
                <w:sz w:val="24"/>
                <w:szCs w:val="24"/>
              </w:rPr>
              <w:t xml:space="preserve">Tên mẫu đơn, tờ khai </w:t>
            </w:r>
          </w:p>
        </w:tc>
        <w:tc>
          <w:tcPr>
            <w:tcW w:w="7152" w:type="dxa"/>
            <w:tcBorders>
              <w:bottom w:val="single" w:sz="4" w:space="0" w:color="auto"/>
            </w:tcBorders>
            <w:shd w:val="clear" w:color="auto" w:fill="auto"/>
          </w:tcPr>
          <w:p w:rsidR="007D1600" w:rsidRPr="00134FEF" w:rsidRDefault="007D1600" w:rsidP="004E0A08">
            <w:pPr>
              <w:jc w:val="both"/>
              <w:rPr>
                <w:sz w:val="24"/>
                <w:szCs w:val="24"/>
              </w:rPr>
            </w:pPr>
            <w:r w:rsidRPr="00134FEF">
              <w:rPr>
                <w:sz w:val="24"/>
                <w:szCs w:val="24"/>
              </w:rPr>
              <w:t>Không</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 xml:space="preserve">Yêu cầu, điều kiện </w:t>
            </w:r>
          </w:p>
        </w:tc>
        <w:tc>
          <w:tcPr>
            <w:tcW w:w="7152" w:type="dxa"/>
            <w:shd w:val="clear" w:color="auto" w:fill="auto"/>
          </w:tcPr>
          <w:p w:rsidR="007D1600" w:rsidRPr="00134FEF" w:rsidRDefault="007D1600" w:rsidP="004E0A08">
            <w:pPr>
              <w:jc w:val="both"/>
              <w:rPr>
                <w:sz w:val="24"/>
                <w:szCs w:val="24"/>
              </w:rPr>
            </w:pPr>
            <w:r w:rsidRPr="00134FEF">
              <w:rPr>
                <w:sz w:val="24"/>
                <w:szCs w:val="24"/>
              </w:rPr>
              <w:t>Không</w:t>
            </w:r>
          </w:p>
        </w:tc>
      </w:tr>
      <w:tr w:rsidR="007D1600" w:rsidRPr="00134FEF" w:rsidTr="004E0A08">
        <w:tc>
          <w:tcPr>
            <w:tcW w:w="2487" w:type="dxa"/>
            <w:shd w:val="clear" w:color="auto" w:fill="auto"/>
          </w:tcPr>
          <w:p w:rsidR="007D1600" w:rsidRPr="00134FEF" w:rsidRDefault="007D1600" w:rsidP="004E0A08">
            <w:pPr>
              <w:tabs>
                <w:tab w:val="left" w:pos="132"/>
              </w:tabs>
              <w:jc w:val="both"/>
              <w:rPr>
                <w:b/>
                <w:sz w:val="24"/>
                <w:szCs w:val="24"/>
              </w:rPr>
            </w:pPr>
            <w:r w:rsidRPr="00134FEF">
              <w:rPr>
                <w:b/>
                <w:sz w:val="24"/>
                <w:szCs w:val="24"/>
              </w:rPr>
              <w:t>Căn cứ pháp lý</w:t>
            </w:r>
          </w:p>
        </w:tc>
        <w:tc>
          <w:tcPr>
            <w:tcW w:w="7152" w:type="dxa"/>
            <w:shd w:val="clear" w:color="auto" w:fill="auto"/>
          </w:tcPr>
          <w:p w:rsidR="007D1600" w:rsidRPr="00134FEF" w:rsidRDefault="007D1600" w:rsidP="004E0A08">
            <w:pPr>
              <w:jc w:val="both"/>
              <w:rPr>
                <w:i/>
                <w:sz w:val="24"/>
                <w:szCs w:val="24"/>
              </w:rPr>
            </w:pPr>
            <w:r w:rsidRPr="00134FEF">
              <w:rPr>
                <w:i/>
                <w:sz w:val="24"/>
                <w:szCs w:val="24"/>
              </w:rPr>
              <w:t xml:space="preserve">Nghị định số 20/2014/NĐ-CP, </w:t>
            </w:r>
            <w:r>
              <w:rPr>
                <w:i/>
                <w:sz w:val="24"/>
                <w:szCs w:val="24"/>
              </w:rPr>
              <w:t>ngày 24/3/2014</w:t>
            </w:r>
            <w:r w:rsidRPr="00134FEF">
              <w:rPr>
                <w:i/>
                <w:sz w:val="24"/>
                <w:szCs w:val="24"/>
              </w:rPr>
              <w:t xml:space="preserve"> Chín</w:t>
            </w:r>
            <w:r>
              <w:rPr>
                <w:i/>
                <w:sz w:val="24"/>
                <w:szCs w:val="24"/>
              </w:rPr>
              <w:t>h phủ</w:t>
            </w:r>
          </w:p>
        </w:tc>
      </w:tr>
    </w:tbl>
    <w:p w:rsidR="007D1600" w:rsidRPr="00134FEF" w:rsidRDefault="007D1600" w:rsidP="007D1600">
      <w:pPr>
        <w:rPr>
          <w:vanish/>
          <w:sz w:val="24"/>
          <w:szCs w:val="24"/>
        </w:rPr>
      </w:pPr>
    </w:p>
    <w:p w:rsidR="007D1600" w:rsidRPr="00134FEF" w:rsidRDefault="007D1600" w:rsidP="007D1600">
      <w:pPr>
        <w:jc w:val="both"/>
        <w:rPr>
          <w:sz w:val="24"/>
          <w:szCs w:val="24"/>
        </w:rPr>
      </w:pPr>
    </w:p>
    <w:p w:rsidR="007D1600" w:rsidRPr="00134FEF" w:rsidRDefault="007D1600" w:rsidP="007D1600">
      <w:pPr>
        <w:jc w:val="both"/>
        <w:rPr>
          <w:sz w:val="24"/>
          <w:szCs w:val="24"/>
        </w:rPr>
      </w:pPr>
    </w:p>
    <w:p w:rsidR="0074722A" w:rsidRDefault="007D1600" w:rsidP="007D1600">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00"/>
    <w:rsid w:val="0074722A"/>
    <w:rsid w:val="007D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0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1600"/>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7D1600"/>
    <w:rPr>
      <w:rFonts w:ascii="Calibri" w:eastAsia="Batang" w:hAnsi="Calibri" w:cs="Times New Roman"/>
      <w:sz w:val="24"/>
      <w:szCs w:val="24"/>
      <w:lang w:eastAsia="ko-KR"/>
    </w:rPr>
  </w:style>
  <w:style w:type="paragraph" w:styleId="BodyText">
    <w:name w:val="Body Text"/>
    <w:basedOn w:val="Normal"/>
    <w:link w:val="BodyTextChar"/>
    <w:uiPriority w:val="99"/>
    <w:rsid w:val="007D1600"/>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7D1600"/>
    <w:rPr>
      <w:rFonts w:eastAsia="Batang" w:cs="Times New Roman"/>
      <w:sz w:val="22"/>
      <w:lang w:eastAsia="ko-KR"/>
    </w:rPr>
  </w:style>
  <w:style w:type="paragraph" w:styleId="NormalWeb">
    <w:name w:val="Normal (Web)"/>
    <w:basedOn w:val="Normal"/>
    <w:uiPriority w:val="99"/>
    <w:rsid w:val="007D160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0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1600"/>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7D1600"/>
    <w:rPr>
      <w:rFonts w:ascii="Calibri" w:eastAsia="Batang" w:hAnsi="Calibri" w:cs="Times New Roman"/>
      <w:sz w:val="24"/>
      <w:szCs w:val="24"/>
      <w:lang w:eastAsia="ko-KR"/>
    </w:rPr>
  </w:style>
  <w:style w:type="paragraph" w:styleId="BodyText">
    <w:name w:val="Body Text"/>
    <w:basedOn w:val="Normal"/>
    <w:link w:val="BodyTextChar"/>
    <w:uiPriority w:val="99"/>
    <w:rsid w:val="007D1600"/>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7D1600"/>
    <w:rPr>
      <w:rFonts w:eastAsia="Batang" w:cs="Times New Roman"/>
      <w:sz w:val="22"/>
      <w:lang w:eastAsia="ko-KR"/>
    </w:rPr>
  </w:style>
  <w:style w:type="paragraph" w:styleId="NormalWeb">
    <w:name w:val="Normal (Web)"/>
    <w:basedOn w:val="Normal"/>
    <w:uiPriority w:val="99"/>
    <w:rsid w:val="007D16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2018-12-03T02:41:00Z</dcterms:created>
  <dcterms:modified xsi:type="dcterms:W3CDTF">2018-12-03T02:41:00Z</dcterms:modified>
</cp:coreProperties>
</file>