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B9" w:rsidRPr="00665FD6" w:rsidRDefault="00ED43B9" w:rsidP="00ED43B9">
      <w:pPr>
        <w:spacing w:after="120"/>
        <w:ind w:firstLine="709"/>
        <w:jc w:val="both"/>
        <w:rPr>
          <w:b/>
          <w:i/>
          <w:sz w:val="26"/>
          <w:szCs w:val="24"/>
        </w:rPr>
      </w:pPr>
      <w:bookmarkStart w:id="0" w:name="_GoBack"/>
      <w:r w:rsidRPr="00665FD6">
        <w:rPr>
          <w:b/>
          <w:sz w:val="26"/>
          <w:szCs w:val="24"/>
        </w:rPr>
        <w:t xml:space="preserve"> Thủ tục: </w:t>
      </w:r>
      <w:r w:rsidRPr="00665FD6">
        <w:rPr>
          <w:b/>
          <w:i/>
          <w:sz w:val="26"/>
          <w:szCs w:val="24"/>
        </w:rPr>
        <w:t>Cho phép hoạt động trung tâm hỗ trợ phát triển giáo dục hòa nhập</w:t>
      </w:r>
      <w:r w:rsidRPr="00665FD6">
        <w:rPr>
          <w:sz w:val="26"/>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ED43B9" w:rsidRPr="00134FEF" w:rsidTr="004E0A08">
        <w:tc>
          <w:tcPr>
            <w:tcW w:w="2552" w:type="dxa"/>
            <w:shd w:val="clear" w:color="auto" w:fill="auto"/>
          </w:tcPr>
          <w:bookmarkEnd w:id="0"/>
          <w:p w:rsidR="00ED43B9" w:rsidRPr="00134FEF" w:rsidRDefault="00ED43B9" w:rsidP="004E0A08">
            <w:pPr>
              <w:jc w:val="both"/>
              <w:rPr>
                <w:b/>
                <w:sz w:val="24"/>
                <w:szCs w:val="24"/>
              </w:rPr>
            </w:pPr>
            <w:r w:rsidRPr="00134FEF">
              <w:rPr>
                <w:b/>
                <w:sz w:val="24"/>
                <w:szCs w:val="24"/>
              </w:rPr>
              <w:t>Trình tự thực hiện</w:t>
            </w:r>
          </w:p>
        </w:tc>
        <w:tc>
          <w:tcPr>
            <w:tcW w:w="7087" w:type="dxa"/>
            <w:shd w:val="clear" w:color="auto" w:fill="auto"/>
          </w:tcPr>
          <w:p w:rsidR="00ED43B9" w:rsidRPr="00134FEF" w:rsidRDefault="00ED43B9" w:rsidP="004E0A08">
            <w:pPr>
              <w:pStyle w:val="sonvb"/>
              <w:spacing w:after="0" w:line="240" w:lineRule="auto"/>
              <w:ind w:firstLine="0"/>
              <w:rPr>
                <w:sz w:val="24"/>
                <w:szCs w:val="24"/>
                <w:lang w:val="en-US"/>
              </w:rPr>
            </w:pPr>
            <w:r w:rsidRPr="00134FEF">
              <w:rPr>
                <w:b/>
                <w:sz w:val="24"/>
                <w:szCs w:val="24"/>
                <w:u w:val="single"/>
                <w:lang w:val="en-US"/>
              </w:rPr>
              <w:t>Bước 1:</w:t>
            </w:r>
            <w:r w:rsidRPr="00134FEF">
              <w:rPr>
                <w:sz w:val="24"/>
                <w:szCs w:val="24"/>
                <w:lang w:val="en-US"/>
              </w:rPr>
              <w:t xml:space="preserve"> Tổ chức</w:t>
            </w:r>
            <w:r w:rsidRPr="00134FEF">
              <w:rPr>
                <w:sz w:val="24"/>
                <w:szCs w:val="24"/>
              </w:rPr>
              <w:t xml:space="preserve"> phải </w:t>
            </w:r>
            <w:r w:rsidRPr="00134FEF">
              <w:rPr>
                <w:sz w:val="24"/>
                <w:szCs w:val="24"/>
                <w:lang w:val="en-US"/>
              </w:rPr>
              <w:t xml:space="preserve">lập </w:t>
            </w:r>
            <w:r w:rsidRPr="00134FEF">
              <w:rPr>
                <w:sz w:val="24"/>
                <w:szCs w:val="24"/>
              </w:rPr>
              <w:t xml:space="preserve">hồ sơ theo quy định </w:t>
            </w:r>
            <w:r w:rsidRPr="00134FEF">
              <w:rPr>
                <w:sz w:val="24"/>
                <w:szCs w:val="24"/>
                <w:lang w:val="en-US"/>
              </w:rPr>
              <w:t xml:space="preserve">và </w:t>
            </w:r>
            <w:r w:rsidRPr="00134FEF">
              <w:rPr>
                <w:sz w:val="24"/>
                <w:szCs w:val="24"/>
              </w:rPr>
              <w:t>gửi Bộ phận “Một cửa”, Sở Giáo dục và Đào tạo.</w:t>
            </w:r>
          </w:p>
          <w:p w:rsidR="00ED43B9" w:rsidRPr="00184E7F" w:rsidRDefault="00ED43B9" w:rsidP="004E0A08">
            <w:pPr>
              <w:pStyle w:val="sonvb"/>
              <w:spacing w:after="0" w:line="240" w:lineRule="auto"/>
              <w:ind w:firstLine="0"/>
              <w:rPr>
                <w:sz w:val="24"/>
                <w:szCs w:val="24"/>
                <w:lang w:val="en-US"/>
              </w:rPr>
            </w:pPr>
            <w:r w:rsidRPr="00184E7F">
              <w:rPr>
                <w:sz w:val="24"/>
                <w:szCs w:val="24"/>
                <w:lang w:val="en-US"/>
              </w:rPr>
              <w:t>- Địa chỉ:</w:t>
            </w:r>
            <w:r>
              <w:rPr>
                <w:sz w:val="24"/>
                <w:szCs w:val="24"/>
                <w:lang w:val="en-US"/>
              </w:rPr>
              <w:t xml:space="preserve"> </w:t>
            </w:r>
            <w:r w:rsidRPr="00184E7F">
              <w:rPr>
                <w:sz w:val="24"/>
                <w:szCs w:val="24"/>
                <w:lang w:val="en-US"/>
              </w:rPr>
              <w:t>22 Nguyễn Thái Học, thành phố Kon Tum, tỉnh Kon Tum.</w:t>
            </w:r>
          </w:p>
          <w:p w:rsidR="00ED43B9" w:rsidRPr="00134FEF" w:rsidRDefault="00ED43B9" w:rsidP="004E0A08">
            <w:pPr>
              <w:pStyle w:val="sonvb"/>
              <w:spacing w:after="0" w:line="240" w:lineRule="auto"/>
              <w:ind w:firstLine="0"/>
              <w:rPr>
                <w:sz w:val="24"/>
                <w:szCs w:val="24"/>
                <w:lang w:val="en-US"/>
              </w:rPr>
            </w:pPr>
            <w:r w:rsidRPr="00134FEF">
              <w:rPr>
                <w:sz w:val="24"/>
                <w:szCs w:val="24"/>
                <w:lang w:val="en-US"/>
              </w:rPr>
              <w:t>-</w:t>
            </w:r>
            <w:r w:rsidRPr="00134FEF">
              <w:rPr>
                <w:sz w:val="24"/>
                <w:szCs w:val="24"/>
              </w:rPr>
              <w:t xml:space="preserve"> Thời gian: Buổi sáng từ 7h00 - 11h00 và buổi chiều từ 13h00 - 17h00 các ngày từ thứ 2 đến thứ 6 hàng tuần (trừ các ngày nghỉ lễ). </w:t>
            </w:r>
          </w:p>
          <w:p w:rsidR="00ED43B9" w:rsidRPr="00134FEF" w:rsidRDefault="00ED43B9" w:rsidP="004E0A08">
            <w:pPr>
              <w:pStyle w:val="NormalWeb"/>
              <w:spacing w:before="0" w:beforeAutospacing="0" w:after="0" w:afterAutospacing="0"/>
              <w:jc w:val="both"/>
              <w:textAlignment w:val="baseline"/>
            </w:pPr>
            <w:r w:rsidRPr="00134FEF">
              <w:rPr>
                <w:b/>
                <w:u w:val="single"/>
              </w:rPr>
              <w:t>Bước 2:</w:t>
            </w:r>
            <w:r w:rsidRPr="00134FEF">
              <w:t xml:space="preserve"> Trong thời hạn 15 (mười lăm) ngày làm việc, kể từ ngày nhận hồ sơ, </w:t>
            </w:r>
            <w:r w:rsidRPr="00184E7F">
              <w:t>Sở Giáo dục và Đào tạo tiến hành thẩm định</w:t>
            </w:r>
            <w:r>
              <w:t>,</w:t>
            </w:r>
            <w:r w:rsidRPr="00184E7F">
              <w:t xml:space="preserve"> </w:t>
            </w:r>
            <w:r>
              <w:t>t</w:t>
            </w:r>
            <w:r w:rsidRPr="00184E7F">
              <w:t>rường hợp hồ sơ không đầy đủ hoặc không đúng theo quy định, Sở Giáo dục và Đào tạo trả lại hồ sơ hoặc</w:t>
            </w:r>
            <w:r w:rsidRPr="00134FEF">
              <w:t xml:space="preserve"> gửi văn bản yêu cầu giám đốc Trung tâm bổ sung, hoàn thiện hồ sơ.</w:t>
            </w:r>
          </w:p>
          <w:p w:rsidR="00ED43B9" w:rsidRPr="00377178" w:rsidRDefault="00ED43B9" w:rsidP="004E0A08">
            <w:pPr>
              <w:pStyle w:val="sonvb"/>
              <w:spacing w:after="0" w:line="240" w:lineRule="auto"/>
              <w:ind w:firstLine="0"/>
              <w:rPr>
                <w:sz w:val="24"/>
                <w:szCs w:val="24"/>
              </w:rPr>
            </w:pPr>
            <w:r w:rsidRPr="00134FEF">
              <w:rPr>
                <w:b/>
                <w:sz w:val="24"/>
                <w:szCs w:val="24"/>
                <w:u w:val="single"/>
              </w:rPr>
              <w:t xml:space="preserve">Bước </w:t>
            </w:r>
            <w:r w:rsidRPr="00134FEF">
              <w:rPr>
                <w:b/>
                <w:sz w:val="24"/>
                <w:szCs w:val="24"/>
                <w:u w:val="single"/>
                <w:lang w:val="en-US"/>
              </w:rPr>
              <w:t>3</w:t>
            </w:r>
            <w:r w:rsidRPr="00134FEF">
              <w:rPr>
                <w:b/>
                <w:sz w:val="24"/>
                <w:szCs w:val="24"/>
                <w:u w:val="single"/>
              </w:rPr>
              <w:t>:</w:t>
            </w:r>
            <w:r w:rsidRPr="00134FEF">
              <w:rPr>
                <w:b/>
                <w:sz w:val="24"/>
                <w:szCs w:val="24"/>
              </w:rPr>
              <w:t xml:space="preserve"> </w:t>
            </w:r>
            <w:r w:rsidRPr="00134FEF">
              <w:rPr>
                <w:sz w:val="24"/>
                <w:szCs w:val="24"/>
              </w:rPr>
              <w:t>Trong thời hạn 25 (hai mươi lăm) ngày, kể từ ngày nhận được hồ sơ và yêu cầu của Giám đốc Trung tâm</w:t>
            </w:r>
            <w:r w:rsidRPr="00826C54">
              <w:rPr>
                <w:sz w:val="24"/>
                <w:szCs w:val="24"/>
              </w:rPr>
              <w:t>, Sở Giáo dục và Đào tạo có trách nhiệm tổ chức thẩm định các điều kiện hoạt động theo quy định</w:t>
            </w:r>
            <w:r w:rsidRPr="00134FEF">
              <w:rPr>
                <w:color w:val="0070C0"/>
                <w:sz w:val="24"/>
                <w:szCs w:val="24"/>
              </w:rPr>
              <w:t xml:space="preserve"> </w:t>
            </w:r>
            <w:r w:rsidRPr="00665FD6">
              <w:rPr>
                <w:sz w:val="24"/>
                <w:szCs w:val="24"/>
              </w:rPr>
              <w:t>tại Điều 8, Thông tư</w:t>
            </w:r>
            <w:r>
              <w:rPr>
                <w:sz w:val="24"/>
                <w:szCs w:val="24"/>
                <w:shd w:val="clear" w:color="auto" w:fill="F9FAFC"/>
                <w:lang w:val="en-US"/>
              </w:rPr>
              <w:t xml:space="preserve"> </w:t>
            </w:r>
            <w:r w:rsidRPr="00377178">
              <w:rPr>
                <w:sz w:val="24"/>
                <w:szCs w:val="24"/>
                <w:lang w:val="en-US"/>
              </w:rPr>
              <w:t>liên tịch số 58/2012/TT-BGDĐT- BLĐTB&amp;XH</w:t>
            </w:r>
          </w:p>
          <w:p w:rsidR="00ED43B9" w:rsidRPr="00134FEF" w:rsidRDefault="00ED43B9" w:rsidP="004E0A08">
            <w:pPr>
              <w:pStyle w:val="sonvb"/>
              <w:spacing w:after="0" w:line="240" w:lineRule="auto"/>
              <w:ind w:firstLine="0"/>
              <w:rPr>
                <w:sz w:val="24"/>
                <w:szCs w:val="24"/>
              </w:rPr>
            </w:pPr>
            <w:r w:rsidRPr="00B903FA">
              <w:rPr>
                <w:sz w:val="24"/>
                <w:szCs w:val="24"/>
                <w:shd w:val="clear" w:color="auto" w:fill="F9FAFC"/>
                <w:lang w:val="en-US"/>
              </w:rPr>
              <w:t>(</w:t>
            </w:r>
            <w:r w:rsidRPr="00B903FA">
              <w:rPr>
                <w:sz w:val="24"/>
                <w:szCs w:val="24"/>
                <w:bdr w:val="none" w:sz="0" w:space="0" w:color="auto" w:frame="1"/>
                <w:lang w:val="vi-VN"/>
              </w:rPr>
              <w:t>Quyết định thành lập hoặc Quyết định cho phép thành lập của Chủ tịch UBND cấp tỉnh</w:t>
            </w:r>
            <w:r w:rsidRPr="00B903FA">
              <w:rPr>
                <w:sz w:val="24"/>
                <w:szCs w:val="24"/>
                <w:bdr w:val="none" w:sz="0" w:space="0" w:color="auto" w:frame="1"/>
              </w:rPr>
              <w:t>;</w:t>
            </w:r>
            <w:r w:rsidRPr="00B903FA">
              <w:rPr>
                <w:sz w:val="24"/>
                <w:szCs w:val="24"/>
              </w:rPr>
              <w:t> </w:t>
            </w:r>
            <w:r w:rsidRPr="00B903FA">
              <w:rPr>
                <w:sz w:val="24"/>
                <w:szCs w:val="24"/>
                <w:bdr w:val="none" w:sz="0" w:space="0" w:color="auto" w:frame="1"/>
                <w:lang w:val="vi-VN"/>
              </w:rPr>
              <w:t>Cơ sở vật chất, phương tiện thiết bị và dịch vụ hỗ trợ phù hợp với đặc điểm người khuyết tật</w:t>
            </w:r>
            <w:r w:rsidRPr="00B903FA">
              <w:rPr>
                <w:sz w:val="24"/>
                <w:szCs w:val="24"/>
                <w:bdr w:val="none" w:sz="0" w:space="0" w:color="auto" w:frame="1"/>
              </w:rPr>
              <w:t>;</w:t>
            </w:r>
            <w:r w:rsidRPr="00B903FA">
              <w:rPr>
                <w:sz w:val="24"/>
                <w:szCs w:val="24"/>
              </w:rPr>
              <w:t> </w:t>
            </w:r>
            <w:r w:rsidRPr="00B903FA">
              <w:rPr>
                <w:sz w:val="24"/>
                <w:szCs w:val="24"/>
                <w:bdr w:val="none" w:sz="0" w:space="0" w:color="auto" w:frame="1"/>
                <w:lang w:val="vi-VN"/>
              </w:rPr>
              <w:t>Trụ sở, phòng làm việc của lãnh đạo, giáo viên, nhân viên;</w:t>
            </w:r>
            <w:r w:rsidRPr="00B903FA">
              <w:rPr>
                <w:sz w:val="24"/>
                <w:szCs w:val="24"/>
              </w:rPr>
              <w:t> </w:t>
            </w:r>
            <w:r w:rsidRPr="00B903FA">
              <w:rPr>
                <w:sz w:val="24"/>
                <w:szCs w:val="24"/>
                <w:bdr w:val="none" w:sz="0" w:space="0" w:color="auto" w:frame="1"/>
                <w:lang w:val="vi-VN"/>
              </w:rPr>
              <w:t>Phòng học, phòng chức năng tương ứng để thực hiện các hoạt động của Trung tâm;</w:t>
            </w:r>
            <w:r w:rsidRPr="00B903FA">
              <w:rPr>
                <w:sz w:val="24"/>
                <w:szCs w:val="24"/>
              </w:rPr>
              <w:t> </w:t>
            </w:r>
            <w:r w:rsidRPr="00B903FA">
              <w:rPr>
                <w:sz w:val="24"/>
                <w:szCs w:val="24"/>
                <w:bdr w:val="none" w:sz="0" w:space="0" w:color="auto" w:frame="1"/>
                <w:lang w:val="vi-VN"/>
              </w:rPr>
              <w:t>Khu nhà ở cho học sinh đối với Trung tâm có người khuyết tật nội trú;</w:t>
            </w:r>
            <w:r w:rsidRPr="00B903FA">
              <w:rPr>
                <w:sz w:val="24"/>
                <w:szCs w:val="24"/>
                <w:bdr w:val="none" w:sz="0" w:space="0" w:color="auto" w:frame="1"/>
              </w:rPr>
              <w:t xml:space="preserve"> </w:t>
            </w:r>
            <w:r w:rsidRPr="00B903FA">
              <w:rPr>
                <w:sz w:val="24"/>
                <w:szCs w:val="24"/>
                <w:bdr w:val="none" w:sz="0" w:space="0" w:color="auto" w:frame="1"/>
                <w:lang w:val="vi-VN"/>
              </w:rPr>
              <w:t>Phương tiện, thiết bị, công cụ sử dụng cho đánh giá, can thiệp, dạy học, hướng nghiệp, dạy nghề;</w:t>
            </w:r>
            <w:r w:rsidRPr="00B903FA">
              <w:rPr>
                <w:sz w:val="24"/>
                <w:szCs w:val="24"/>
              </w:rPr>
              <w:t> </w:t>
            </w:r>
            <w:r w:rsidRPr="00B903FA">
              <w:rPr>
                <w:sz w:val="24"/>
                <w:szCs w:val="24"/>
                <w:bdr w:val="none" w:sz="0" w:space="0" w:color="auto" w:frame="1"/>
                <w:lang w:val="vi-VN"/>
              </w:rPr>
              <w:t>Tài liệu chuyên môn, tài liệu hỗ trợ bảo đảm thực hiện các hoạt động của Trung tâm</w:t>
            </w:r>
            <w:r w:rsidRPr="00B903FA">
              <w:rPr>
                <w:sz w:val="24"/>
                <w:szCs w:val="24"/>
                <w:bdr w:val="none" w:sz="0" w:space="0" w:color="auto" w:frame="1"/>
              </w:rPr>
              <w:t>)</w:t>
            </w:r>
            <w:r>
              <w:rPr>
                <w:sz w:val="24"/>
                <w:szCs w:val="24"/>
                <w:lang w:val="en-US"/>
              </w:rPr>
              <w:t xml:space="preserve"> và quyết định cho phép hoạt động.</w:t>
            </w:r>
            <w:r w:rsidRPr="00134FEF">
              <w:rPr>
                <w:sz w:val="24"/>
                <w:szCs w:val="24"/>
              </w:rPr>
              <w:t xml:space="preserve"> Trường hợp không đủ điều kiện hoạt động, Sở Giáo dục và Đào tạo có văn bản báo cáo Chủ tịch UBND cấp tỉnh và thông báo cho Giám đốc Trung tâm biết rõ lý do.</w:t>
            </w:r>
          </w:p>
          <w:p w:rsidR="00ED43B9" w:rsidRDefault="00ED43B9" w:rsidP="004E0A08">
            <w:pPr>
              <w:jc w:val="both"/>
              <w:rPr>
                <w:sz w:val="24"/>
                <w:szCs w:val="24"/>
              </w:rPr>
            </w:pPr>
            <w:r w:rsidRPr="00134FEF">
              <w:rPr>
                <w:b/>
                <w:sz w:val="24"/>
                <w:szCs w:val="24"/>
                <w:u w:val="single"/>
              </w:rPr>
              <w:t>Bước 4:</w:t>
            </w:r>
            <w:r w:rsidRPr="00134FEF">
              <w:rPr>
                <w:sz w:val="24"/>
                <w:szCs w:val="24"/>
              </w:rPr>
              <w:t xml:space="preserve"> Trả kết quả tại Bộ phận “Một cửa”, Sở Giáo dục và Đào tạo. </w:t>
            </w:r>
          </w:p>
          <w:p w:rsidR="00ED43B9" w:rsidRPr="00134FEF" w:rsidRDefault="00ED43B9" w:rsidP="004E0A08">
            <w:pPr>
              <w:jc w:val="both"/>
              <w:rPr>
                <w:color w:val="FF0000"/>
                <w:sz w:val="24"/>
                <w:szCs w:val="24"/>
              </w:rPr>
            </w:pPr>
            <w:r>
              <w:rPr>
                <w:sz w:val="24"/>
                <w:szCs w:val="24"/>
              </w:rPr>
              <w:t xml:space="preserve">- </w:t>
            </w:r>
            <w:r w:rsidRPr="00134FEF">
              <w:rPr>
                <w:sz w:val="24"/>
                <w:szCs w:val="24"/>
              </w:rPr>
              <w:t>Thời gian: Buổi sáng từ 7h00 - 11h00 và buổi chiều từ 13h00 - 17h00 các ngày từ thứ 2 đến thứ 6 hàng tuần (trừ các ngày nghỉ lễ).</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Cách thức thực hiện</w:t>
            </w:r>
          </w:p>
        </w:tc>
        <w:tc>
          <w:tcPr>
            <w:tcW w:w="7087" w:type="dxa"/>
            <w:shd w:val="clear" w:color="auto" w:fill="auto"/>
          </w:tcPr>
          <w:p w:rsidR="00ED43B9" w:rsidRPr="00134FEF" w:rsidRDefault="00ED43B9" w:rsidP="004E0A08">
            <w:pPr>
              <w:jc w:val="both"/>
              <w:rPr>
                <w:sz w:val="24"/>
                <w:szCs w:val="24"/>
              </w:rPr>
            </w:pPr>
            <w:r w:rsidRPr="00134FEF">
              <w:rPr>
                <w:sz w:val="24"/>
                <w:szCs w:val="24"/>
              </w:rPr>
              <w:t>Trực tiếp tại trụ sở cơ quan hành chính hoặc qua đường bưu điện</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Thành phần, số lượng hồ sơ</w:t>
            </w:r>
          </w:p>
        </w:tc>
        <w:tc>
          <w:tcPr>
            <w:tcW w:w="7087" w:type="dxa"/>
            <w:shd w:val="clear" w:color="auto" w:fill="auto"/>
          </w:tcPr>
          <w:p w:rsidR="00ED43B9" w:rsidRPr="00801C82" w:rsidRDefault="00ED43B9" w:rsidP="004E0A08">
            <w:pPr>
              <w:pStyle w:val="BodyText"/>
              <w:spacing w:before="0"/>
              <w:rPr>
                <w:sz w:val="24"/>
                <w:szCs w:val="24"/>
                <w:lang w:val="en-US"/>
              </w:rPr>
            </w:pPr>
            <w:r w:rsidRPr="00801C82">
              <w:rPr>
                <w:sz w:val="24"/>
                <w:szCs w:val="24"/>
                <w:lang w:val="en-US"/>
              </w:rPr>
              <w:t>a) Thành phần hồ sơ, bao gồm:</w:t>
            </w:r>
          </w:p>
          <w:p w:rsidR="00ED43B9" w:rsidRPr="006349EB" w:rsidRDefault="00ED43B9" w:rsidP="004E0A08">
            <w:pPr>
              <w:pStyle w:val="NormalWeb"/>
              <w:spacing w:before="0" w:beforeAutospacing="0" w:after="0" w:afterAutospacing="0"/>
              <w:jc w:val="both"/>
              <w:textAlignment w:val="baseline"/>
            </w:pPr>
            <w:r w:rsidRPr="00134FEF">
              <w:t xml:space="preserve">- Văn bản đề nghị cho phép hoạt động của Trung tâm, trong đó nêu rõ điều kiện đáp ứng hoạt động tương ứng với các </w:t>
            </w:r>
            <w:r w:rsidRPr="006349EB">
              <w:t>nhiệm vụ được quy định tại Điều 3 Thông tư liên tịch số 58/2012/TT-BGDĐT- BLĐTB&amp;XH</w:t>
            </w:r>
            <w:r>
              <w:t xml:space="preserve"> </w:t>
            </w:r>
            <w:r w:rsidRPr="00665FD6">
              <w:rPr>
                <w:i/>
              </w:rPr>
              <w:t>(</w:t>
            </w:r>
            <w:r w:rsidRPr="00665FD6">
              <w:rPr>
                <w:i/>
                <w:bdr w:val="none" w:sz="0" w:space="0" w:color="auto" w:frame="1"/>
                <w:lang w:val="vi-VN"/>
              </w:rPr>
              <w:t>Phát hiện khuyết tật để tư vấn lựa chọn phương thức giáo dục phù hợp;</w:t>
            </w:r>
            <w:r w:rsidRPr="00665FD6">
              <w:rPr>
                <w:i/>
              </w:rPr>
              <w:t> </w:t>
            </w:r>
            <w:r w:rsidRPr="00665FD6">
              <w:rPr>
                <w:i/>
                <w:bdr w:val="none" w:sz="0" w:space="0" w:color="auto" w:frame="1"/>
                <w:lang w:val="vi-VN"/>
              </w:rPr>
              <w:t>Thực hiện biện pháp can thiệp sớm người khuyết tật tại cộng đồng đ</w:t>
            </w:r>
            <w:r w:rsidRPr="00665FD6">
              <w:rPr>
                <w:i/>
              </w:rPr>
              <w:t>ể </w:t>
            </w:r>
            <w:r w:rsidRPr="00665FD6">
              <w:rPr>
                <w:i/>
                <w:bdr w:val="none" w:sz="0" w:space="0" w:color="auto" w:frame="1"/>
                <w:lang w:val="vi-VN"/>
              </w:rPr>
              <w:t>lựa chọn phương thức giáo dục phù hợp;</w:t>
            </w:r>
            <w:r w:rsidRPr="00665FD6">
              <w:rPr>
                <w:i/>
                <w:bdr w:val="none" w:sz="0" w:space="0" w:color="auto" w:frame="1"/>
              </w:rPr>
              <w:t xml:space="preserve"> </w:t>
            </w:r>
            <w:r w:rsidRPr="00665FD6">
              <w:rPr>
                <w:i/>
                <w:bdr w:val="none" w:sz="0" w:space="0" w:color="auto" w:frame="1"/>
                <w:lang w:val="vi-VN"/>
              </w:rPr>
              <w:t>Tư vấn tâm lý, sức khỏe, giáo dục, hướng nghiệp đ</w:t>
            </w:r>
            <w:r w:rsidRPr="00665FD6">
              <w:rPr>
                <w:i/>
              </w:rPr>
              <w:t>ể </w:t>
            </w:r>
            <w:r w:rsidRPr="00665FD6">
              <w:rPr>
                <w:i/>
                <w:bdr w:val="none" w:sz="0" w:space="0" w:color="auto" w:frame="1"/>
                <w:lang w:val="vi-VN"/>
              </w:rPr>
              <w:t>lựa chọn phương thức giáo dục phù hợp;</w:t>
            </w:r>
            <w:r w:rsidRPr="00665FD6">
              <w:rPr>
                <w:i/>
                <w:bdr w:val="none" w:sz="0" w:space="0" w:color="auto" w:frame="1"/>
              </w:rPr>
              <w:t xml:space="preserve"> </w:t>
            </w:r>
            <w:r w:rsidRPr="00665FD6">
              <w:rPr>
                <w:i/>
                <w:bdr w:val="none" w:sz="0" w:space="0" w:color="auto" w:frame="1"/>
                <w:lang w:val="vi-VN"/>
              </w:rPr>
              <w:t>Hỗ trợ người khuyết tật tại gia đình, tại cơ sở giáo dục và cộng đồng;</w:t>
            </w:r>
            <w:r w:rsidRPr="00665FD6">
              <w:rPr>
                <w:i/>
              </w:rPr>
              <w:t> </w:t>
            </w:r>
            <w:r w:rsidRPr="00665FD6">
              <w:rPr>
                <w:i/>
                <w:bdr w:val="none" w:sz="0" w:space="0" w:color="auto" w:frame="1"/>
                <w:lang w:val="vi-VN"/>
              </w:rPr>
              <w:t>Cung cấp nội dung, thiết bị, tài liệu dạy và học đặc</w:t>
            </w:r>
            <w:r w:rsidRPr="00665FD6">
              <w:rPr>
                <w:i/>
                <w:color w:val="444444"/>
                <w:bdr w:val="none" w:sz="0" w:space="0" w:color="auto" w:frame="1"/>
                <w:lang w:val="vi-VN"/>
              </w:rPr>
              <w:t xml:space="preserve"> </w:t>
            </w:r>
            <w:r w:rsidRPr="00665FD6">
              <w:rPr>
                <w:i/>
                <w:bdr w:val="none" w:sz="0" w:space="0" w:color="auto" w:frame="1"/>
                <w:lang w:val="vi-VN"/>
              </w:rPr>
              <w:t>thù phù hợp với từng dạng tật, mức độ khuyết tật</w:t>
            </w:r>
            <w:r w:rsidRPr="00665FD6">
              <w:rPr>
                <w:i/>
                <w:bdr w:val="none" w:sz="0" w:space="0" w:color="auto" w:frame="1"/>
              </w:rPr>
              <w:t>)</w:t>
            </w:r>
            <w:r w:rsidRPr="006349EB">
              <w:rPr>
                <w:bdr w:val="none" w:sz="0" w:space="0" w:color="auto" w:frame="1"/>
              </w:rPr>
              <w:t>.</w:t>
            </w:r>
          </w:p>
          <w:p w:rsidR="00ED43B9" w:rsidRPr="00134FEF" w:rsidRDefault="00ED43B9" w:rsidP="004E0A08">
            <w:pPr>
              <w:pStyle w:val="sonvb"/>
              <w:spacing w:after="0" w:line="240" w:lineRule="auto"/>
              <w:ind w:firstLine="0"/>
              <w:rPr>
                <w:sz w:val="24"/>
                <w:szCs w:val="24"/>
              </w:rPr>
            </w:pPr>
            <w:r w:rsidRPr="00134FEF">
              <w:rPr>
                <w:sz w:val="24"/>
                <w:szCs w:val="24"/>
                <w:lang w:val="en-US"/>
              </w:rPr>
              <w:t>-</w:t>
            </w:r>
            <w:r w:rsidRPr="00134FEF">
              <w:rPr>
                <w:sz w:val="24"/>
                <w:szCs w:val="24"/>
              </w:rPr>
              <w:t> Bản sao Quyết định thành lập hoặc Quyết định cho phép thành lập Trung tâm.</w:t>
            </w:r>
          </w:p>
          <w:p w:rsidR="00ED43B9" w:rsidRPr="00134FEF" w:rsidRDefault="00ED43B9" w:rsidP="004E0A08">
            <w:pPr>
              <w:jc w:val="both"/>
              <w:rPr>
                <w:sz w:val="24"/>
                <w:szCs w:val="24"/>
              </w:rPr>
            </w:pPr>
            <w:r w:rsidRPr="00134FEF">
              <w:rPr>
                <w:sz w:val="24"/>
                <w:szCs w:val="24"/>
              </w:rPr>
              <w:t>b) Số lượng hồ sơ: 01(bộ).</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Thời gian giải quyết</w:t>
            </w:r>
          </w:p>
        </w:tc>
        <w:tc>
          <w:tcPr>
            <w:tcW w:w="7087" w:type="dxa"/>
            <w:shd w:val="clear" w:color="auto" w:fill="auto"/>
          </w:tcPr>
          <w:p w:rsidR="00ED43B9" w:rsidRPr="006349EB" w:rsidRDefault="00ED43B9" w:rsidP="004E0A08">
            <w:pPr>
              <w:jc w:val="both"/>
              <w:rPr>
                <w:sz w:val="24"/>
                <w:szCs w:val="24"/>
              </w:rPr>
            </w:pPr>
            <w:r w:rsidRPr="006349EB">
              <w:rPr>
                <w:sz w:val="24"/>
                <w:szCs w:val="24"/>
              </w:rPr>
              <w:t>40 ngày kể từ ngày nhận đủ hồ sơ hợp lệ</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lastRenderedPageBreak/>
              <w:t>Cơ quan thực hiện</w:t>
            </w:r>
          </w:p>
        </w:tc>
        <w:tc>
          <w:tcPr>
            <w:tcW w:w="7087" w:type="dxa"/>
            <w:shd w:val="clear" w:color="auto" w:fill="auto"/>
          </w:tcPr>
          <w:p w:rsidR="00ED43B9" w:rsidRPr="00134FEF" w:rsidRDefault="00ED43B9" w:rsidP="004E0A08">
            <w:pPr>
              <w:jc w:val="both"/>
              <w:rPr>
                <w:sz w:val="24"/>
                <w:szCs w:val="24"/>
              </w:rPr>
            </w:pPr>
            <w:r w:rsidRPr="00134FEF">
              <w:rPr>
                <w:sz w:val="24"/>
                <w:szCs w:val="24"/>
              </w:rPr>
              <w:t>Sở Giáo dục và Đào tạo</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Đối tượng thực hiện</w:t>
            </w:r>
          </w:p>
        </w:tc>
        <w:tc>
          <w:tcPr>
            <w:tcW w:w="7087" w:type="dxa"/>
            <w:shd w:val="clear" w:color="auto" w:fill="auto"/>
          </w:tcPr>
          <w:p w:rsidR="00ED43B9" w:rsidRPr="00134FEF" w:rsidRDefault="00ED43B9" w:rsidP="004E0A08">
            <w:pPr>
              <w:jc w:val="both"/>
              <w:rPr>
                <w:sz w:val="24"/>
                <w:szCs w:val="24"/>
              </w:rPr>
            </w:pPr>
            <w:r w:rsidRPr="00134FEF">
              <w:rPr>
                <w:sz w:val="24"/>
                <w:szCs w:val="24"/>
              </w:rPr>
              <w:t>Tổ chức, cá nhân.</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Kết quả</w:t>
            </w:r>
          </w:p>
        </w:tc>
        <w:tc>
          <w:tcPr>
            <w:tcW w:w="7087" w:type="dxa"/>
            <w:shd w:val="clear" w:color="auto" w:fill="auto"/>
          </w:tcPr>
          <w:p w:rsidR="00ED43B9" w:rsidRPr="00134FEF" w:rsidRDefault="00ED43B9" w:rsidP="004E0A08">
            <w:pPr>
              <w:jc w:val="both"/>
              <w:rPr>
                <w:sz w:val="24"/>
                <w:szCs w:val="24"/>
              </w:rPr>
            </w:pPr>
            <w:r w:rsidRPr="00134FEF">
              <w:rPr>
                <w:sz w:val="24"/>
                <w:szCs w:val="24"/>
              </w:rPr>
              <w:t xml:space="preserve">Quyết định hành chính </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Lệ phí</w:t>
            </w:r>
          </w:p>
        </w:tc>
        <w:tc>
          <w:tcPr>
            <w:tcW w:w="7087" w:type="dxa"/>
            <w:shd w:val="clear" w:color="auto" w:fill="auto"/>
          </w:tcPr>
          <w:p w:rsidR="00ED43B9" w:rsidRPr="00134FEF" w:rsidRDefault="00ED43B9" w:rsidP="004E0A08">
            <w:pPr>
              <w:jc w:val="both"/>
              <w:rPr>
                <w:sz w:val="24"/>
                <w:szCs w:val="24"/>
              </w:rPr>
            </w:pPr>
            <w:r w:rsidRPr="00134FEF">
              <w:rPr>
                <w:sz w:val="24"/>
                <w:szCs w:val="24"/>
              </w:rPr>
              <w:t>Không</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 xml:space="preserve">Tên mẫu đơn, tờ khai </w:t>
            </w:r>
          </w:p>
        </w:tc>
        <w:tc>
          <w:tcPr>
            <w:tcW w:w="7087" w:type="dxa"/>
            <w:shd w:val="clear" w:color="auto" w:fill="auto"/>
          </w:tcPr>
          <w:p w:rsidR="00ED43B9" w:rsidRPr="00134FEF" w:rsidRDefault="00ED43B9" w:rsidP="004E0A08">
            <w:pPr>
              <w:jc w:val="both"/>
              <w:rPr>
                <w:sz w:val="24"/>
                <w:szCs w:val="24"/>
              </w:rPr>
            </w:pPr>
            <w:r w:rsidRPr="00134FEF">
              <w:rPr>
                <w:sz w:val="24"/>
                <w:szCs w:val="24"/>
              </w:rPr>
              <w:t>Không</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 xml:space="preserve">Yêu cầu, điều kiện </w:t>
            </w:r>
          </w:p>
        </w:tc>
        <w:tc>
          <w:tcPr>
            <w:tcW w:w="7087" w:type="dxa"/>
            <w:shd w:val="clear" w:color="auto" w:fill="auto"/>
          </w:tcPr>
          <w:p w:rsidR="00ED43B9" w:rsidRPr="00134FEF" w:rsidRDefault="00ED43B9" w:rsidP="004E0A08">
            <w:pPr>
              <w:pStyle w:val="NormalWeb"/>
              <w:spacing w:before="0" w:beforeAutospacing="0" w:after="0" w:afterAutospacing="0"/>
              <w:jc w:val="both"/>
            </w:pPr>
            <w:r w:rsidRPr="00134FEF">
              <w:rPr>
                <w:lang w:val="vi-VN"/>
              </w:rPr>
              <w:t>Trung tâm được phép hoạt động khi có đủ các điều kiện sau:</w:t>
            </w:r>
          </w:p>
          <w:p w:rsidR="00ED43B9" w:rsidRPr="00134FEF" w:rsidRDefault="00ED43B9" w:rsidP="004E0A08">
            <w:pPr>
              <w:pStyle w:val="NormalWeb"/>
              <w:spacing w:before="0" w:beforeAutospacing="0" w:after="0" w:afterAutospacing="0"/>
              <w:jc w:val="both"/>
            </w:pPr>
            <w:r w:rsidRPr="00134FEF">
              <w:t xml:space="preserve">1. </w:t>
            </w:r>
            <w:r w:rsidRPr="00134FEF">
              <w:rPr>
                <w:lang w:val="vi-VN"/>
              </w:rPr>
              <w:t>Quyết định thành lập hoặc Quyết định cho phép thành lập của Chủ tịch UBND cấp tỉnh;</w:t>
            </w:r>
          </w:p>
          <w:p w:rsidR="00ED43B9" w:rsidRPr="00134FEF" w:rsidRDefault="00ED43B9" w:rsidP="004E0A08">
            <w:pPr>
              <w:pStyle w:val="NormalWeb"/>
              <w:spacing w:before="0" w:beforeAutospacing="0" w:after="0" w:afterAutospacing="0"/>
              <w:jc w:val="both"/>
            </w:pPr>
            <w:r w:rsidRPr="00134FEF">
              <w:t xml:space="preserve">2. </w:t>
            </w:r>
            <w:r w:rsidRPr="00134FEF">
              <w:rPr>
                <w:lang w:val="vi-VN"/>
              </w:rPr>
              <w:t>Cơ sở vật chất, phương tiện thiết bị và dịch vụ hỗ trợ phù hợp với đặc điểm người khuyết tật:</w:t>
            </w:r>
          </w:p>
          <w:p w:rsidR="00ED43B9" w:rsidRPr="00134FEF" w:rsidRDefault="00ED43B9" w:rsidP="004E0A08">
            <w:pPr>
              <w:pStyle w:val="NormalWeb"/>
              <w:spacing w:before="0" w:beforeAutospacing="0" w:after="0" w:afterAutospacing="0"/>
              <w:jc w:val="both"/>
            </w:pPr>
            <w:r w:rsidRPr="00134FEF">
              <w:t xml:space="preserve">a) </w:t>
            </w:r>
            <w:r w:rsidRPr="00134FEF">
              <w:rPr>
                <w:lang w:val="vi-VN"/>
              </w:rPr>
              <w:t>Trụ sở, phòng làm việc của lãnh đạo, giáo viên, nhân viên;</w:t>
            </w:r>
          </w:p>
          <w:p w:rsidR="00ED43B9" w:rsidRPr="00134FEF" w:rsidRDefault="00ED43B9" w:rsidP="004E0A08">
            <w:pPr>
              <w:pStyle w:val="NormalWeb"/>
              <w:spacing w:before="0" w:beforeAutospacing="0" w:after="0" w:afterAutospacing="0"/>
              <w:jc w:val="both"/>
            </w:pPr>
            <w:r w:rsidRPr="00134FEF">
              <w:t xml:space="preserve">b) </w:t>
            </w:r>
            <w:r w:rsidRPr="00134FEF">
              <w:rPr>
                <w:lang w:val="vi-VN"/>
              </w:rPr>
              <w:t>Phòng học, phòng chức năng tương ứng để thực hiện các hoạt động của Trung tâm;</w:t>
            </w:r>
          </w:p>
          <w:p w:rsidR="00ED43B9" w:rsidRPr="00134FEF" w:rsidRDefault="00ED43B9" w:rsidP="004E0A08">
            <w:pPr>
              <w:pStyle w:val="NormalWeb"/>
              <w:spacing w:before="0" w:beforeAutospacing="0" w:after="0" w:afterAutospacing="0"/>
              <w:jc w:val="both"/>
            </w:pPr>
            <w:r w:rsidRPr="00134FEF">
              <w:t xml:space="preserve">c) </w:t>
            </w:r>
            <w:r w:rsidRPr="00134FEF">
              <w:rPr>
                <w:lang w:val="vi-VN"/>
              </w:rPr>
              <w:t>Khu nhà ở cho học sinh đối với Trung tâm có người khuyết tật nội trú;</w:t>
            </w:r>
          </w:p>
          <w:p w:rsidR="00ED43B9" w:rsidRPr="00134FEF" w:rsidRDefault="00ED43B9" w:rsidP="004E0A08">
            <w:pPr>
              <w:pStyle w:val="NormalWeb"/>
              <w:spacing w:before="0" w:beforeAutospacing="0" w:after="0" w:afterAutospacing="0"/>
              <w:jc w:val="both"/>
            </w:pPr>
            <w:r w:rsidRPr="00134FEF">
              <w:t xml:space="preserve">d) </w:t>
            </w:r>
            <w:r w:rsidRPr="00134FEF">
              <w:rPr>
                <w:lang w:val="vi-VN"/>
              </w:rPr>
              <w:t>Phương tiện, thiết bị, công cụ sử dụng cho đánh giá, can thiệp, dạy học, hướng nghiệp, dạy nghề;</w:t>
            </w:r>
          </w:p>
          <w:p w:rsidR="00ED43B9" w:rsidRPr="00134FEF" w:rsidRDefault="00ED43B9" w:rsidP="004E0A08">
            <w:pPr>
              <w:pStyle w:val="NormalWeb"/>
              <w:spacing w:before="0" w:beforeAutospacing="0" w:after="0" w:afterAutospacing="0"/>
              <w:jc w:val="both"/>
            </w:pPr>
            <w:r w:rsidRPr="00134FEF">
              <w:t xml:space="preserve">e) </w:t>
            </w:r>
            <w:r w:rsidRPr="00134FEF">
              <w:rPr>
                <w:lang w:val="vi-VN"/>
              </w:rPr>
              <w:t>Tài liệu chuyên môn, tài liệu hỗ trợ bảo đảm thực hiện các hoạt động của Trung tâm.</w:t>
            </w:r>
          </w:p>
          <w:p w:rsidR="00ED43B9" w:rsidRPr="00134FEF" w:rsidRDefault="00ED43B9" w:rsidP="004E0A08">
            <w:pPr>
              <w:pStyle w:val="NormalWeb"/>
              <w:spacing w:before="0" w:beforeAutospacing="0" w:after="0" w:afterAutospacing="0"/>
              <w:jc w:val="both"/>
            </w:pPr>
            <w:r w:rsidRPr="00134FEF">
              <w:t xml:space="preserve">3. </w:t>
            </w:r>
            <w:r w:rsidRPr="00134FEF">
              <w:rPr>
                <w:lang w:val="vi-VN"/>
              </w:rPr>
              <w:t>Đội ngũ cán bộ, giáo viên, nhân viên hỗ trợ giáo dục có trình độ chuyên môn phù hợp với các phương thức giáo dục người khuyết tật</w:t>
            </w:r>
          </w:p>
          <w:p w:rsidR="00ED43B9" w:rsidRPr="00134FEF" w:rsidRDefault="00ED43B9" w:rsidP="004E0A08">
            <w:pPr>
              <w:pStyle w:val="NormalWeb"/>
              <w:spacing w:before="0" w:beforeAutospacing="0" w:after="0" w:afterAutospacing="0"/>
              <w:jc w:val="both"/>
            </w:pPr>
            <w:r w:rsidRPr="00134FEF">
              <w:t xml:space="preserve">a) </w:t>
            </w:r>
            <w:r w:rsidRPr="00134FEF">
              <w:rPr>
                <w:lang w:val="vi-VN"/>
              </w:rPr>
              <w:t>Giám đ</w:t>
            </w:r>
            <w:r w:rsidRPr="00134FEF">
              <w:t>ố</w:t>
            </w:r>
            <w:r w:rsidRPr="00134FEF">
              <w:rPr>
                <w:lang w:val="vi-VN"/>
              </w:rPr>
              <w:t>c Trung tâm phải tốt nghiệp đại học chuyên ngành giáo dục đặc biệt hoặc tốt nghiệp đại học chuyên ngành khác có chứng chỉ nghiệp vụ sư phạm, có hiểu biết về đặc điểm phát triển của người khuyết tật, về nội dung, phương pháp, hình thức giáo dục cho người khuyết tật;</w:t>
            </w:r>
          </w:p>
          <w:p w:rsidR="00ED43B9" w:rsidRPr="00134FEF" w:rsidRDefault="00ED43B9" w:rsidP="004E0A08">
            <w:pPr>
              <w:pStyle w:val="NormalWeb"/>
              <w:spacing w:before="0" w:beforeAutospacing="0" w:after="0" w:afterAutospacing="0"/>
              <w:jc w:val="both"/>
            </w:pPr>
            <w:r w:rsidRPr="00134FEF">
              <w:t xml:space="preserve">b) </w:t>
            </w:r>
            <w:r w:rsidRPr="00134FEF">
              <w:rPr>
                <w:lang w:val="vi-VN"/>
              </w:rPr>
              <w:t>Giáo viên có trình độ trung cấp trở lên, có chứng chỉ nghiệp vụ giáo dục người khuyết tật;</w:t>
            </w:r>
          </w:p>
          <w:p w:rsidR="00ED43B9" w:rsidRPr="00134FEF" w:rsidRDefault="00ED43B9" w:rsidP="004E0A08">
            <w:pPr>
              <w:pStyle w:val="NormalWeb"/>
              <w:spacing w:before="0" w:beforeAutospacing="0" w:after="0" w:afterAutospacing="0"/>
              <w:jc w:val="both"/>
            </w:pPr>
            <w:r w:rsidRPr="00134FEF">
              <w:t xml:space="preserve">c) </w:t>
            </w:r>
            <w:r w:rsidRPr="00134FEF">
              <w:rPr>
                <w:lang w:val="vi-VN"/>
              </w:rPr>
              <w:t>Nhân viên hỗ trợ giáo dục được tập huấn về giáo dục người khuyết tật.</w:t>
            </w:r>
          </w:p>
          <w:p w:rsidR="00ED43B9" w:rsidRPr="00134FEF" w:rsidRDefault="00ED43B9" w:rsidP="004E0A08">
            <w:pPr>
              <w:pStyle w:val="NormalWeb"/>
              <w:spacing w:before="0" w:beforeAutospacing="0" w:after="0" w:afterAutospacing="0"/>
              <w:jc w:val="both"/>
            </w:pPr>
            <w:r w:rsidRPr="00134FEF">
              <w:t xml:space="preserve">4. </w:t>
            </w:r>
            <w:r w:rsidRPr="00134FEF">
              <w:rPr>
                <w:lang w:val="vi-VN"/>
              </w:rPr>
              <w:t>Nội dung chương trình giáo dục và tài liệu bồi dưỡng, tư vấn phù hợp với các phương thức giáo dục người khuyết tật, gồm:</w:t>
            </w:r>
          </w:p>
          <w:p w:rsidR="00ED43B9" w:rsidRPr="00134FEF" w:rsidRDefault="00ED43B9" w:rsidP="004E0A08">
            <w:pPr>
              <w:pStyle w:val="NormalWeb"/>
              <w:spacing w:before="0" w:beforeAutospacing="0" w:after="0" w:afterAutospacing="0"/>
              <w:jc w:val="both"/>
            </w:pPr>
            <w:r w:rsidRPr="00134FEF">
              <w:t xml:space="preserve">a) </w:t>
            </w:r>
            <w:r w:rsidRPr="00134FEF">
              <w:rPr>
                <w:lang w:val="vi-VN"/>
              </w:rPr>
              <w:t>Nội dung chương trình, tài liệu về giáo dục cá nhân đối với người khuyết tật thuộc các dạng tật;</w:t>
            </w:r>
          </w:p>
          <w:p w:rsidR="00ED43B9" w:rsidRPr="00134FEF" w:rsidRDefault="00ED43B9" w:rsidP="004E0A08">
            <w:pPr>
              <w:pStyle w:val="NormalWeb"/>
              <w:spacing w:before="0" w:beforeAutospacing="0" w:after="0" w:afterAutospacing="0"/>
              <w:jc w:val="both"/>
            </w:pPr>
            <w:r w:rsidRPr="00134FEF">
              <w:t xml:space="preserve">b) </w:t>
            </w:r>
            <w:r w:rsidRPr="00134FEF">
              <w:rPr>
                <w:lang w:val="vi-VN"/>
              </w:rPr>
              <w:t>Nội dung chương trình, tài liệu bồi dưỡng về giáo dục người khuyết tật thuộc các dạng tật;</w:t>
            </w:r>
          </w:p>
          <w:p w:rsidR="00ED43B9" w:rsidRPr="00134FEF" w:rsidRDefault="00ED43B9" w:rsidP="004E0A08">
            <w:pPr>
              <w:pStyle w:val="NormalWeb"/>
              <w:spacing w:before="0" w:beforeAutospacing="0" w:after="0" w:afterAutospacing="0"/>
              <w:jc w:val="both"/>
            </w:pPr>
            <w:r w:rsidRPr="00134FEF">
              <w:t xml:space="preserve">c) </w:t>
            </w:r>
            <w:r w:rsidRPr="00134FEF">
              <w:rPr>
                <w:lang w:val="vi-VN"/>
              </w:rPr>
              <w:t>Tài liệu tư vấn về việc lựa chọn các phương thức giáo dục phù hợp với dạng và mức độ tật của người khuyết tật.</w:t>
            </w:r>
          </w:p>
        </w:tc>
      </w:tr>
      <w:tr w:rsidR="00ED43B9" w:rsidRPr="00134FEF" w:rsidTr="004E0A08">
        <w:tc>
          <w:tcPr>
            <w:tcW w:w="2552" w:type="dxa"/>
            <w:shd w:val="clear" w:color="auto" w:fill="auto"/>
          </w:tcPr>
          <w:p w:rsidR="00ED43B9" w:rsidRPr="00134FEF" w:rsidRDefault="00ED43B9" w:rsidP="004E0A08">
            <w:pPr>
              <w:jc w:val="both"/>
              <w:rPr>
                <w:b/>
                <w:sz w:val="24"/>
                <w:szCs w:val="24"/>
              </w:rPr>
            </w:pPr>
            <w:r w:rsidRPr="00134FEF">
              <w:rPr>
                <w:b/>
                <w:sz w:val="24"/>
                <w:szCs w:val="24"/>
              </w:rPr>
              <w:t>Căn cứ pháp lý</w:t>
            </w:r>
          </w:p>
        </w:tc>
        <w:tc>
          <w:tcPr>
            <w:tcW w:w="7087" w:type="dxa"/>
            <w:shd w:val="clear" w:color="auto" w:fill="auto"/>
          </w:tcPr>
          <w:p w:rsidR="00ED43B9" w:rsidRPr="00134FEF" w:rsidRDefault="00ED43B9" w:rsidP="004E0A08">
            <w:pPr>
              <w:jc w:val="both"/>
              <w:rPr>
                <w:b/>
                <w:i/>
                <w:sz w:val="24"/>
                <w:szCs w:val="24"/>
              </w:rPr>
            </w:pPr>
            <w:r>
              <w:rPr>
                <w:i/>
                <w:sz w:val="24"/>
                <w:szCs w:val="24"/>
              </w:rPr>
              <w:t xml:space="preserve">- </w:t>
            </w:r>
            <w:r w:rsidRPr="00134FEF">
              <w:rPr>
                <w:i/>
                <w:sz w:val="24"/>
                <w:szCs w:val="24"/>
              </w:rPr>
              <w:t>Thông tư liên tịch số 58/2012/TTLT-BGDĐT-BLĐTBXH ngày 28/12/2012 của Bộ Giáo dục và Đào tạo, Bộ Lao động - Thương binh và Xã hội.</w:t>
            </w:r>
          </w:p>
        </w:tc>
      </w:tr>
    </w:tbl>
    <w:p w:rsidR="00ED43B9" w:rsidRPr="00134FEF" w:rsidRDefault="00ED43B9" w:rsidP="00ED43B9">
      <w:pPr>
        <w:rPr>
          <w:b/>
          <w:sz w:val="24"/>
          <w:szCs w:val="24"/>
        </w:rPr>
      </w:pPr>
    </w:p>
    <w:p w:rsidR="00ED43B9" w:rsidRPr="00134FEF" w:rsidRDefault="00ED43B9" w:rsidP="00ED43B9">
      <w:pPr>
        <w:rPr>
          <w:sz w:val="24"/>
          <w:szCs w:val="24"/>
        </w:rPr>
      </w:pPr>
    </w:p>
    <w:p w:rsidR="00ED43B9" w:rsidRPr="00134FEF" w:rsidRDefault="00ED43B9" w:rsidP="00ED43B9">
      <w:pPr>
        <w:rPr>
          <w:sz w:val="24"/>
          <w:szCs w:val="24"/>
        </w:rPr>
      </w:pPr>
    </w:p>
    <w:p w:rsidR="00ED43B9" w:rsidRPr="00134FEF" w:rsidRDefault="00ED43B9" w:rsidP="00ED43B9">
      <w:pPr>
        <w:rPr>
          <w:sz w:val="24"/>
          <w:szCs w:val="24"/>
        </w:rPr>
      </w:pPr>
    </w:p>
    <w:p w:rsidR="0074722A" w:rsidRDefault="00ED43B9" w:rsidP="00ED43B9">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B9"/>
    <w:rsid w:val="0074722A"/>
    <w:rsid w:val="00E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B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43B9"/>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ED43B9"/>
    <w:rPr>
      <w:rFonts w:eastAsia="Batang" w:cs="Times New Roman"/>
      <w:sz w:val="22"/>
      <w:lang w:eastAsia="ko-KR"/>
    </w:rPr>
  </w:style>
  <w:style w:type="paragraph" w:styleId="NormalWeb">
    <w:name w:val="Normal (Web)"/>
    <w:basedOn w:val="Normal"/>
    <w:uiPriority w:val="99"/>
    <w:rsid w:val="00ED43B9"/>
    <w:pPr>
      <w:spacing w:before="100" w:beforeAutospacing="1" w:after="100" w:afterAutospacing="1"/>
    </w:pPr>
    <w:rPr>
      <w:sz w:val="24"/>
      <w:szCs w:val="24"/>
    </w:rPr>
  </w:style>
  <w:style w:type="paragraph" w:customStyle="1" w:styleId="sonvb">
    <w:name w:val="son vb"/>
    <w:basedOn w:val="Normal"/>
    <w:link w:val="sonvbChar"/>
    <w:qFormat/>
    <w:rsid w:val="00ED43B9"/>
    <w:pPr>
      <w:spacing w:after="120" w:line="360" w:lineRule="auto"/>
      <w:ind w:firstLine="720"/>
      <w:jc w:val="both"/>
    </w:pPr>
    <w:rPr>
      <w:rFonts w:eastAsia="Arial"/>
      <w:lang/>
    </w:rPr>
  </w:style>
  <w:style w:type="character" w:customStyle="1" w:styleId="sonvbChar">
    <w:name w:val="son vb Char"/>
    <w:link w:val="sonvb"/>
    <w:rsid w:val="00ED43B9"/>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B9"/>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43B9"/>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ED43B9"/>
    <w:rPr>
      <w:rFonts w:eastAsia="Batang" w:cs="Times New Roman"/>
      <w:sz w:val="22"/>
      <w:lang w:eastAsia="ko-KR"/>
    </w:rPr>
  </w:style>
  <w:style w:type="paragraph" w:styleId="NormalWeb">
    <w:name w:val="Normal (Web)"/>
    <w:basedOn w:val="Normal"/>
    <w:uiPriority w:val="99"/>
    <w:rsid w:val="00ED43B9"/>
    <w:pPr>
      <w:spacing w:before="100" w:beforeAutospacing="1" w:after="100" w:afterAutospacing="1"/>
    </w:pPr>
    <w:rPr>
      <w:sz w:val="24"/>
      <w:szCs w:val="24"/>
    </w:rPr>
  </w:style>
  <w:style w:type="paragraph" w:customStyle="1" w:styleId="sonvb">
    <w:name w:val="son vb"/>
    <w:basedOn w:val="Normal"/>
    <w:link w:val="sonvbChar"/>
    <w:qFormat/>
    <w:rsid w:val="00ED43B9"/>
    <w:pPr>
      <w:spacing w:after="120" w:line="360" w:lineRule="auto"/>
      <w:ind w:firstLine="720"/>
      <w:jc w:val="both"/>
    </w:pPr>
    <w:rPr>
      <w:rFonts w:eastAsia="Arial"/>
      <w:lang/>
    </w:rPr>
  </w:style>
  <w:style w:type="character" w:customStyle="1" w:styleId="sonvbChar">
    <w:name w:val="son vb Char"/>
    <w:link w:val="sonvb"/>
    <w:rsid w:val="00ED43B9"/>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2018-12-03T02:43:00Z</dcterms:created>
  <dcterms:modified xsi:type="dcterms:W3CDTF">2018-12-03T02:43:00Z</dcterms:modified>
</cp:coreProperties>
</file>