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45" w:rsidRPr="007707E3" w:rsidRDefault="00555045" w:rsidP="00555045">
      <w:pPr>
        <w:spacing w:after="120"/>
        <w:ind w:firstLine="709"/>
        <w:jc w:val="both"/>
        <w:rPr>
          <w:b/>
          <w:i/>
          <w:sz w:val="26"/>
          <w:szCs w:val="24"/>
          <w:lang w:val="vi-VN"/>
        </w:rPr>
      </w:pPr>
      <w:bookmarkStart w:id="0" w:name="_GoBack"/>
      <w:r w:rsidRPr="007707E3">
        <w:rPr>
          <w:b/>
          <w:sz w:val="26"/>
          <w:szCs w:val="24"/>
          <w:lang w:val="vi-VN"/>
        </w:rPr>
        <w:t xml:space="preserve">Thủ tục: </w:t>
      </w:r>
      <w:r w:rsidRPr="007707E3">
        <w:rPr>
          <w:b/>
          <w:i/>
          <w:sz w:val="26"/>
          <w:szCs w:val="24"/>
          <w:lang w:val="nl-NL"/>
        </w:rPr>
        <w:t>Chuyển trường đối với học sinh trung học phổ thông.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555045" w:rsidRPr="00134FEF" w:rsidTr="004E0A08">
        <w:tc>
          <w:tcPr>
            <w:tcW w:w="2552" w:type="dxa"/>
            <w:tcBorders>
              <w:bottom w:val="single" w:sz="4" w:space="0" w:color="auto"/>
            </w:tcBorders>
            <w:shd w:val="clear" w:color="auto" w:fill="auto"/>
          </w:tcPr>
          <w:bookmarkEnd w:id="0"/>
          <w:p w:rsidR="00555045" w:rsidRPr="00134FEF" w:rsidRDefault="00555045" w:rsidP="004E0A08">
            <w:pPr>
              <w:jc w:val="both"/>
              <w:rPr>
                <w:rFonts w:eastAsia="Batang"/>
                <w:b/>
                <w:sz w:val="24"/>
                <w:szCs w:val="24"/>
              </w:rPr>
            </w:pPr>
            <w:r w:rsidRPr="00134FEF">
              <w:rPr>
                <w:rFonts w:eastAsia="Batang"/>
                <w:b/>
                <w:sz w:val="24"/>
                <w:szCs w:val="24"/>
              </w:rPr>
              <w:t>Trình tự thực hiện</w:t>
            </w:r>
          </w:p>
        </w:tc>
        <w:tc>
          <w:tcPr>
            <w:tcW w:w="7087" w:type="dxa"/>
            <w:tcBorders>
              <w:bottom w:val="single" w:sz="4" w:space="0" w:color="auto"/>
            </w:tcBorders>
            <w:shd w:val="clear" w:color="auto" w:fill="auto"/>
          </w:tcPr>
          <w:p w:rsidR="00555045" w:rsidRPr="00E10461" w:rsidRDefault="00555045" w:rsidP="004E0A08">
            <w:pPr>
              <w:tabs>
                <w:tab w:val="left" w:pos="4320"/>
              </w:tabs>
              <w:jc w:val="both"/>
              <w:rPr>
                <w:rFonts w:eastAsia="Batang"/>
                <w:sz w:val="24"/>
                <w:szCs w:val="24"/>
              </w:rPr>
            </w:pPr>
            <w:r w:rsidRPr="00E10461">
              <w:rPr>
                <w:rFonts w:eastAsia="Batang"/>
                <w:b/>
                <w:bCs/>
                <w:iCs/>
                <w:sz w:val="24"/>
                <w:szCs w:val="24"/>
                <w:u w:val="single"/>
              </w:rPr>
              <w:t>Bước1</w:t>
            </w:r>
            <w:r w:rsidRPr="00E10461">
              <w:rPr>
                <w:rFonts w:eastAsia="Batang"/>
                <w:b/>
                <w:bCs/>
                <w:sz w:val="24"/>
                <w:szCs w:val="24"/>
                <w:u w:val="single"/>
              </w:rPr>
              <w:t>:</w:t>
            </w:r>
            <w:r w:rsidRPr="00E10461">
              <w:rPr>
                <w:rFonts w:eastAsia="Batang"/>
                <w:sz w:val="24"/>
                <w:szCs w:val="24"/>
              </w:rPr>
              <w:t xml:space="preserve"> Tổ chức chuẩn bị đầy đủ hồ sơ theo quy định của pháp luật. Nộp hồ sơ tại Bộ phận “Một cửa” Sở Giáo dục và Đào tạo.</w:t>
            </w:r>
          </w:p>
          <w:p w:rsidR="00555045" w:rsidRPr="00E10461" w:rsidRDefault="00555045" w:rsidP="004E0A08">
            <w:pPr>
              <w:jc w:val="both"/>
              <w:rPr>
                <w:rFonts w:eastAsia="Batang"/>
                <w:sz w:val="24"/>
                <w:szCs w:val="24"/>
              </w:rPr>
            </w:pPr>
            <w:r w:rsidRPr="00E10461">
              <w:rPr>
                <w:rFonts w:eastAsia="Batang"/>
                <w:sz w:val="24"/>
                <w:szCs w:val="24"/>
              </w:rPr>
              <w:t>- Địa chỉ: 22 Nguyễn Thái Học, thành phố Kon Tum, tỉnh Kon Tum.</w:t>
            </w:r>
          </w:p>
          <w:p w:rsidR="00555045" w:rsidRPr="00E10461" w:rsidRDefault="00555045" w:rsidP="004E0A08">
            <w:pPr>
              <w:jc w:val="both"/>
              <w:rPr>
                <w:rFonts w:eastAsia="Batang"/>
                <w:iCs/>
                <w:sz w:val="24"/>
                <w:szCs w:val="24"/>
              </w:rPr>
            </w:pPr>
            <w:r w:rsidRPr="00E10461">
              <w:rPr>
                <w:rFonts w:eastAsia="Batang"/>
                <w:sz w:val="24"/>
                <w:szCs w:val="24"/>
              </w:rPr>
              <w:t xml:space="preserve">- Thời gian: Buổi sáng từ 7h00 – 11h00 và buổi chiều từ 13h00 – 17h00 các ngày từ thứ 2 đến thứ 6 hàng tuần (trừ các ngày nghỉ lễ). </w:t>
            </w:r>
            <w:r w:rsidRPr="00E10461">
              <w:rPr>
                <w:rFonts w:eastAsia="Batang"/>
                <w:iCs/>
                <w:sz w:val="24"/>
                <w:szCs w:val="24"/>
              </w:rPr>
              <w:t xml:space="preserve"> </w:t>
            </w:r>
          </w:p>
          <w:p w:rsidR="00555045" w:rsidRPr="00E10461" w:rsidRDefault="00555045" w:rsidP="004E0A08">
            <w:pPr>
              <w:jc w:val="both"/>
              <w:rPr>
                <w:rFonts w:eastAsia="Batang"/>
                <w:sz w:val="24"/>
                <w:szCs w:val="24"/>
              </w:rPr>
            </w:pPr>
            <w:r w:rsidRPr="00E10461">
              <w:rPr>
                <w:rFonts w:eastAsia="Batang"/>
                <w:b/>
                <w:bCs/>
                <w:iCs/>
                <w:sz w:val="24"/>
                <w:szCs w:val="24"/>
                <w:u w:val="single"/>
              </w:rPr>
              <w:t>Bước 2</w:t>
            </w:r>
            <w:r w:rsidRPr="00E10461">
              <w:rPr>
                <w:rFonts w:eastAsia="Batang"/>
                <w:b/>
                <w:bCs/>
                <w:sz w:val="24"/>
                <w:szCs w:val="24"/>
                <w:u w:val="single"/>
              </w:rPr>
              <w:t>:</w:t>
            </w:r>
            <w:r w:rsidRPr="00E10461">
              <w:rPr>
                <w:rFonts w:eastAsia="Batang"/>
                <w:sz w:val="24"/>
                <w:szCs w:val="24"/>
              </w:rPr>
              <w:t xml:space="preserve"> Cán bộ tiếp nhận kiểm tra tính hợp lý và đầy đủ của hồ sơ:</w:t>
            </w:r>
          </w:p>
          <w:p w:rsidR="00555045" w:rsidRPr="00E10461" w:rsidRDefault="00555045" w:rsidP="004E0A08">
            <w:pPr>
              <w:tabs>
                <w:tab w:val="left" w:pos="4320"/>
              </w:tabs>
              <w:jc w:val="both"/>
              <w:rPr>
                <w:rFonts w:eastAsia="Batang"/>
                <w:sz w:val="24"/>
                <w:szCs w:val="24"/>
              </w:rPr>
            </w:pPr>
            <w:r w:rsidRPr="00E10461">
              <w:rPr>
                <w:rFonts w:eastAsia="Batang"/>
                <w:sz w:val="24"/>
                <w:szCs w:val="24"/>
              </w:rPr>
              <w:t>- Trường hợp hồ sơ đầy đủ thì công chức viết giấy hẹn cho cá nhân.</w:t>
            </w:r>
          </w:p>
          <w:p w:rsidR="00555045" w:rsidRPr="00E10461" w:rsidRDefault="00555045" w:rsidP="004E0A08">
            <w:pPr>
              <w:tabs>
                <w:tab w:val="left" w:pos="4320"/>
              </w:tabs>
              <w:jc w:val="both"/>
              <w:rPr>
                <w:rFonts w:eastAsia="Batang"/>
                <w:sz w:val="24"/>
                <w:szCs w:val="24"/>
              </w:rPr>
            </w:pPr>
            <w:r w:rsidRPr="00E10461">
              <w:rPr>
                <w:rFonts w:eastAsia="Batang"/>
                <w:sz w:val="24"/>
                <w:szCs w:val="24"/>
              </w:rPr>
              <w:t>- Trường hợp hồ sơ còn thiếu và không hợp lệ thì công chức hướng dẫn cá nhân về chỉnh sửa, bổ sung.</w:t>
            </w:r>
          </w:p>
          <w:p w:rsidR="00555045" w:rsidRPr="00E10461" w:rsidRDefault="00555045" w:rsidP="004E0A08">
            <w:pPr>
              <w:jc w:val="both"/>
              <w:rPr>
                <w:rFonts w:eastAsia="Batang"/>
                <w:sz w:val="24"/>
                <w:szCs w:val="24"/>
              </w:rPr>
            </w:pPr>
            <w:r w:rsidRPr="00E10461">
              <w:rPr>
                <w:rFonts w:eastAsia="Batang"/>
                <w:b/>
                <w:bCs/>
                <w:iCs/>
                <w:sz w:val="24"/>
                <w:szCs w:val="24"/>
                <w:u w:val="single"/>
              </w:rPr>
              <w:t>Bước 3</w:t>
            </w:r>
            <w:r w:rsidRPr="00E10461">
              <w:rPr>
                <w:rFonts w:eastAsia="Batang"/>
                <w:b/>
                <w:bCs/>
                <w:sz w:val="24"/>
                <w:szCs w:val="24"/>
                <w:u w:val="single"/>
              </w:rPr>
              <w:t>:</w:t>
            </w:r>
            <w:r w:rsidRPr="00E10461">
              <w:rPr>
                <w:rFonts w:eastAsia="Batang"/>
                <w:sz w:val="24"/>
                <w:szCs w:val="24"/>
              </w:rPr>
              <w:t xml:space="preserve"> Trả kết quả tại Bộ phận “Một cửa” Sở Giáo dục và Đào tạo.</w:t>
            </w:r>
          </w:p>
          <w:p w:rsidR="00555045" w:rsidRPr="00E10461" w:rsidRDefault="00555045" w:rsidP="004E0A08">
            <w:pPr>
              <w:jc w:val="both"/>
              <w:rPr>
                <w:rFonts w:eastAsia="Batang"/>
                <w:sz w:val="24"/>
                <w:szCs w:val="24"/>
              </w:rPr>
            </w:pPr>
            <w:r w:rsidRPr="00E10461">
              <w:rPr>
                <w:rFonts w:eastAsia="Batang"/>
                <w:sz w:val="24"/>
                <w:szCs w:val="24"/>
              </w:rPr>
              <w:t xml:space="preserve">- Thời gian: Buổi sáng từ 7h00- 11h00 và buổi chiều từ 13h00 – 17h00 các ngày từ thứ 2 đến thứ 6 hàng tuần (trừ các ngày nghỉ lễ). </w:t>
            </w:r>
          </w:p>
        </w:tc>
      </w:tr>
      <w:tr w:rsidR="00555045" w:rsidRPr="00134FEF" w:rsidTr="004E0A08">
        <w:tc>
          <w:tcPr>
            <w:tcW w:w="2552" w:type="dxa"/>
            <w:shd w:val="clear" w:color="auto" w:fill="auto"/>
          </w:tcPr>
          <w:p w:rsidR="00555045" w:rsidRPr="00134FEF" w:rsidRDefault="00555045" w:rsidP="004E0A08">
            <w:pPr>
              <w:jc w:val="both"/>
              <w:rPr>
                <w:rFonts w:eastAsia="Batang"/>
                <w:b/>
                <w:sz w:val="24"/>
                <w:szCs w:val="24"/>
              </w:rPr>
            </w:pPr>
            <w:r w:rsidRPr="00134FEF">
              <w:rPr>
                <w:rFonts w:eastAsia="Batang"/>
                <w:b/>
                <w:sz w:val="24"/>
                <w:szCs w:val="24"/>
              </w:rPr>
              <w:t>Cách thức thực hiện</w:t>
            </w:r>
          </w:p>
        </w:tc>
        <w:tc>
          <w:tcPr>
            <w:tcW w:w="7087" w:type="dxa"/>
            <w:shd w:val="clear" w:color="auto" w:fill="auto"/>
          </w:tcPr>
          <w:p w:rsidR="00555045" w:rsidRPr="00134FEF" w:rsidRDefault="00555045" w:rsidP="004E0A08">
            <w:pPr>
              <w:jc w:val="both"/>
              <w:rPr>
                <w:rFonts w:eastAsia="Batang"/>
                <w:sz w:val="24"/>
                <w:szCs w:val="24"/>
              </w:rPr>
            </w:pPr>
            <w:r w:rsidRPr="00134FEF">
              <w:rPr>
                <w:rFonts w:eastAsia="Batang"/>
                <w:sz w:val="24"/>
                <w:szCs w:val="24"/>
              </w:rPr>
              <w:t>Trực tiếp tại trụ sở cơ quan hành chính hoặc qua đường bưu điện</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555045" w:rsidRPr="00134FEF" w:rsidRDefault="00555045" w:rsidP="004E0A08">
            <w:pPr>
              <w:tabs>
                <w:tab w:val="left" w:pos="132"/>
                <w:tab w:val="left" w:pos="4320"/>
              </w:tabs>
              <w:jc w:val="both"/>
              <w:rPr>
                <w:color w:val="000000"/>
                <w:sz w:val="24"/>
                <w:szCs w:val="24"/>
              </w:rPr>
            </w:pPr>
            <w:r w:rsidRPr="00134FEF">
              <w:rPr>
                <w:color w:val="000000"/>
                <w:sz w:val="24"/>
                <w:szCs w:val="24"/>
              </w:rPr>
              <w:t>a) Thành phần hồ sơ bao gồm:</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Đơn xin chuyển trường do cha hoặc mẹ hoặc người giám hộ ký.</w:t>
            </w:r>
          </w:p>
          <w:p w:rsidR="00555045" w:rsidRPr="00134FEF" w:rsidRDefault="00555045" w:rsidP="004E0A08">
            <w:pPr>
              <w:pStyle w:val="BodyText3"/>
              <w:tabs>
                <w:tab w:val="left" w:pos="132"/>
              </w:tabs>
              <w:spacing w:before="0"/>
              <w:rPr>
                <w:i w:val="0"/>
                <w:color w:val="000000"/>
                <w:sz w:val="24"/>
              </w:rPr>
            </w:pPr>
            <w:r w:rsidRPr="00134FEF">
              <w:rPr>
                <w:i w:val="0"/>
                <w:color w:val="000000"/>
                <w:sz w:val="24"/>
              </w:rPr>
              <w:t>- Học bạ (bản chính) và kèm theo phiếu ghi điểm (nếu chuyển giữa học kỳ).</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Bằng tốt nghiệp cấp dưới bản công chứng (hoặc giấy chứng nhận tốt nghiệp tạm thời).</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Bản sao giấy khai sinh.</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xml:space="preserve">- Giấy chứng nhận trúng tuyển vào lớp 10 ghi rõ loại hình trường được tuyển (công lập hoặc ngoài công lập) do Sở </w:t>
            </w:r>
            <w:r w:rsidRPr="00E10461">
              <w:rPr>
                <w:sz w:val="24"/>
                <w:szCs w:val="24"/>
              </w:rPr>
              <w:t>Giáo dục và Đào tạo</w:t>
            </w:r>
            <w:r w:rsidRPr="00134FEF">
              <w:rPr>
                <w:color w:val="000000"/>
                <w:sz w:val="24"/>
                <w:szCs w:val="24"/>
              </w:rPr>
              <w:t xml:space="preserve"> nơi đi cấp.</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Giấy giới thiệu chuyển trường do Hiệu trưởng nhà trường nơi đi cấp.</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xml:space="preserve">- Giấy giới thiệu chuyển trường (đối với các trường trực thuộc Sở) do Giám đốc Sở </w:t>
            </w:r>
            <w:r w:rsidRPr="00E10461">
              <w:rPr>
                <w:sz w:val="24"/>
                <w:szCs w:val="24"/>
              </w:rPr>
              <w:t>Giáo dục và Đào tạ</w:t>
            </w:r>
            <w:r>
              <w:rPr>
                <w:sz w:val="24"/>
                <w:szCs w:val="24"/>
              </w:rPr>
              <w:t>o</w:t>
            </w:r>
            <w:r w:rsidRPr="00134FEF">
              <w:rPr>
                <w:color w:val="000000"/>
                <w:sz w:val="24"/>
                <w:szCs w:val="24"/>
              </w:rPr>
              <w:t xml:space="preserve"> nơi đi cấp.</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Các giấy tờ hợp lệ để được hưởng chế độ ưu tiên, khuyến khích trong học tập, thi tuyển sinh, thi tốt nghiệp (nếu có).</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xml:space="preserve">- Giấy xác nhận của chính quyền địa phương nơi học sinh cư trú với học sinh có hoàn </w:t>
            </w:r>
            <w:r>
              <w:rPr>
                <w:color w:val="000000"/>
                <w:sz w:val="24"/>
                <w:szCs w:val="24"/>
              </w:rPr>
              <w:t>cảnh</w:t>
            </w:r>
            <w:r w:rsidRPr="00134FEF">
              <w:rPr>
                <w:color w:val="000000"/>
                <w:sz w:val="24"/>
                <w:szCs w:val="24"/>
              </w:rPr>
              <w:t xml:space="preserve"> khó khăn về gia đình</w:t>
            </w:r>
          </w:p>
          <w:p w:rsidR="00555045" w:rsidRPr="00134FEF" w:rsidRDefault="00555045" w:rsidP="004E0A08">
            <w:pPr>
              <w:tabs>
                <w:tab w:val="left" w:pos="132"/>
                <w:tab w:val="left" w:pos="4320"/>
              </w:tabs>
              <w:jc w:val="both"/>
              <w:rPr>
                <w:color w:val="000000"/>
                <w:sz w:val="24"/>
                <w:szCs w:val="24"/>
              </w:rPr>
            </w:pPr>
            <w:r w:rsidRPr="00134FEF">
              <w:rPr>
                <w:color w:val="000000"/>
                <w:sz w:val="24"/>
                <w:szCs w:val="24"/>
              </w:rPr>
              <w:t xml:space="preserve">b) Số lượng hồ sơ: </w:t>
            </w:r>
            <w:r w:rsidRPr="00134FEF">
              <w:rPr>
                <w:bCs/>
                <w:color w:val="000000"/>
                <w:sz w:val="24"/>
                <w:szCs w:val="24"/>
              </w:rPr>
              <w:t>01</w:t>
            </w:r>
            <w:r w:rsidRPr="00134FEF">
              <w:rPr>
                <w:color w:val="000000"/>
                <w:sz w:val="24"/>
                <w:szCs w:val="24"/>
              </w:rPr>
              <w:t xml:space="preserve"> (bộ).</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555045" w:rsidRPr="00134FEF" w:rsidRDefault="00555045" w:rsidP="004E0A08">
            <w:pPr>
              <w:tabs>
                <w:tab w:val="left" w:pos="132"/>
              </w:tabs>
              <w:jc w:val="both"/>
              <w:rPr>
                <w:color w:val="000000"/>
                <w:sz w:val="24"/>
                <w:szCs w:val="24"/>
              </w:rPr>
            </w:pPr>
            <w:r w:rsidRPr="00134FEF">
              <w:rPr>
                <w:bCs/>
                <w:color w:val="000000"/>
                <w:sz w:val="24"/>
                <w:szCs w:val="24"/>
              </w:rPr>
              <w:t xml:space="preserve">01 </w:t>
            </w:r>
            <w:r w:rsidRPr="00134FEF">
              <w:rPr>
                <w:color w:val="000000"/>
                <w:sz w:val="24"/>
                <w:szCs w:val="24"/>
              </w:rPr>
              <w:t xml:space="preserve">ngày làm việc kể từ ngày nhận được hồ sơ hợp lệ </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555045" w:rsidRPr="00134FEF" w:rsidRDefault="00555045" w:rsidP="004E0A08">
            <w:pPr>
              <w:tabs>
                <w:tab w:val="left" w:pos="132"/>
              </w:tabs>
              <w:jc w:val="both"/>
              <w:rPr>
                <w:color w:val="000000"/>
                <w:sz w:val="24"/>
                <w:szCs w:val="24"/>
              </w:rPr>
            </w:pPr>
            <w:r w:rsidRPr="00134FEF">
              <w:rPr>
                <w:color w:val="000000"/>
                <w:sz w:val="24"/>
                <w:szCs w:val="24"/>
              </w:rPr>
              <w:t>Sở Giáo dục và Đào tạo</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555045" w:rsidRPr="00134FEF" w:rsidRDefault="00555045" w:rsidP="004E0A08">
            <w:pPr>
              <w:tabs>
                <w:tab w:val="left" w:pos="132"/>
              </w:tabs>
              <w:jc w:val="both"/>
              <w:rPr>
                <w:color w:val="000000"/>
                <w:sz w:val="24"/>
                <w:szCs w:val="24"/>
              </w:rPr>
            </w:pPr>
            <w:r w:rsidRPr="00134FEF">
              <w:rPr>
                <w:color w:val="000000"/>
                <w:sz w:val="24"/>
                <w:szCs w:val="24"/>
              </w:rPr>
              <w:t>Cá nhân</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555045" w:rsidRPr="00134FEF" w:rsidRDefault="00555045" w:rsidP="004E0A08">
            <w:pPr>
              <w:tabs>
                <w:tab w:val="left" w:pos="132"/>
              </w:tabs>
              <w:jc w:val="both"/>
              <w:rPr>
                <w:color w:val="000000"/>
                <w:sz w:val="24"/>
                <w:szCs w:val="24"/>
              </w:rPr>
            </w:pPr>
            <w:r w:rsidRPr="00134FEF">
              <w:rPr>
                <w:color w:val="000000"/>
                <w:sz w:val="24"/>
                <w:szCs w:val="24"/>
              </w:rPr>
              <w:t>Giấy giới thiệu</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555045" w:rsidRPr="00134FEF" w:rsidRDefault="00555045" w:rsidP="004E0A08">
            <w:pPr>
              <w:tabs>
                <w:tab w:val="left" w:pos="132"/>
              </w:tabs>
              <w:jc w:val="both"/>
              <w:rPr>
                <w:color w:val="000000"/>
                <w:sz w:val="24"/>
                <w:szCs w:val="24"/>
              </w:rPr>
            </w:pPr>
            <w:r w:rsidRPr="00134FEF">
              <w:rPr>
                <w:color w:val="000000"/>
                <w:sz w:val="24"/>
                <w:szCs w:val="24"/>
              </w:rPr>
              <w:t>Không</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555045" w:rsidRPr="00134FEF" w:rsidRDefault="00555045" w:rsidP="004E0A08">
            <w:pPr>
              <w:tabs>
                <w:tab w:val="left" w:pos="132"/>
              </w:tabs>
              <w:jc w:val="both"/>
              <w:rPr>
                <w:color w:val="000000"/>
                <w:sz w:val="24"/>
                <w:szCs w:val="24"/>
              </w:rPr>
            </w:pPr>
            <w:r w:rsidRPr="00134FEF">
              <w:rPr>
                <w:color w:val="000000"/>
                <w:sz w:val="24"/>
                <w:szCs w:val="24"/>
              </w:rPr>
              <w:t>Không</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555045" w:rsidRPr="00134FEF" w:rsidRDefault="00555045" w:rsidP="004E0A08">
            <w:pPr>
              <w:pStyle w:val="NormalWeb"/>
              <w:shd w:val="clear" w:color="auto" w:fill="FFFFFF"/>
              <w:tabs>
                <w:tab w:val="left" w:pos="132"/>
              </w:tabs>
              <w:spacing w:before="0" w:beforeAutospacing="0" w:after="0" w:afterAutospacing="0"/>
              <w:jc w:val="both"/>
              <w:rPr>
                <w:color w:val="000000"/>
              </w:rPr>
            </w:pPr>
            <w:r w:rsidRPr="00134FEF">
              <w:rPr>
                <w:rStyle w:val="apple-converted-space"/>
                <w:color w:val="000000"/>
              </w:rPr>
              <w:t xml:space="preserve">a) </w:t>
            </w:r>
            <w:r w:rsidRPr="00134FEF">
              <w:rPr>
                <w:color w:val="000000"/>
              </w:rPr>
              <w:t>Học sinh chuyển nơi cư trú theo cha hoặc mẹ hoặc người giám hộ.</w:t>
            </w:r>
          </w:p>
          <w:p w:rsidR="00555045" w:rsidRPr="00134FEF" w:rsidRDefault="00555045" w:rsidP="004E0A08">
            <w:pPr>
              <w:tabs>
                <w:tab w:val="left" w:pos="132"/>
              </w:tabs>
              <w:jc w:val="both"/>
              <w:rPr>
                <w:color w:val="000000"/>
                <w:sz w:val="24"/>
                <w:szCs w:val="24"/>
              </w:rPr>
            </w:pPr>
            <w:r w:rsidRPr="00134FEF">
              <w:rPr>
                <w:color w:val="000000"/>
                <w:sz w:val="24"/>
                <w:szCs w:val="24"/>
              </w:rPr>
              <w:t>b) Học sinh có hoàn cảnh đặc biệt khó khăn về gia đình hoặc có lý do thực sự chính đáng để phải chuyển trường.</w:t>
            </w:r>
          </w:p>
          <w:p w:rsidR="00555045" w:rsidRPr="00134FEF" w:rsidRDefault="00555045" w:rsidP="004E0A08">
            <w:pPr>
              <w:pStyle w:val="NormalWeb"/>
              <w:shd w:val="clear" w:color="auto" w:fill="FFFFFF"/>
              <w:tabs>
                <w:tab w:val="left" w:pos="132"/>
              </w:tabs>
              <w:spacing w:before="0" w:beforeAutospacing="0" w:after="0" w:afterAutospacing="0"/>
              <w:jc w:val="both"/>
              <w:rPr>
                <w:color w:val="000000"/>
              </w:rPr>
            </w:pPr>
            <w:r w:rsidRPr="00134FEF">
              <w:rPr>
                <w:color w:val="000000"/>
              </w:rPr>
              <w:t xml:space="preserve">* Việc chuyển trường từ trường trung học phổ thông ngoài công lập sang trường trung học phổ thông công lập chỉ được xem xét, giải quyết </w:t>
            </w:r>
            <w:r w:rsidRPr="00134FEF">
              <w:rPr>
                <w:color w:val="000000"/>
              </w:rPr>
              <w:lastRenderedPageBreak/>
              <w:t>trong hai trường hợp sau:</w:t>
            </w:r>
          </w:p>
          <w:p w:rsidR="00555045" w:rsidRPr="00134FEF" w:rsidRDefault="00555045" w:rsidP="004E0A08">
            <w:pPr>
              <w:pStyle w:val="NormalWeb"/>
              <w:shd w:val="clear" w:color="auto" w:fill="FFFFFF"/>
              <w:tabs>
                <w:tab w:val="left" w:pos="132"/>
              </w:tabs>
              <w:spacing w:before="0" w:beforeAutospacing="0" w:after="0" w:afterAutospacing="0"/>
              <w:jc w:val="both"/>
              <w:rPr>
                <w:color w:val="000000"/>
              </w:rPr>
            </w:pPr>
            <w:r w:rsidRPr="00134FEF">
              <w:rPr>
                <w:color w:val="000000"/>
              </w:rPr>
              <w:t>a)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555045" w:rsidRPr="00134FEF" w:rsidRDefault="00555045" w:rsidP="004E0A08">
            <w:pPr>
              <w:pStyle w:val="NormalWeb"/>
              <w:shd w:val="clear" w:color="auto" w:fill="FFFFFF"/>
              <w:tabs>
                <w:tab w:val="left" w:pos="132"/>
              </w:tabs>
              <w:spacing w:before="0" w:beforeAutospacing="0" w:after="0" w:afterAutospacing="0"/>
              <w:jc w:val="both"/>
              <w:rPr>
                <w:color w:val="000000"/>
              </w:rPr>
            </w:pPr>
            <w:r w:rsidRPr="00134FEF">
              <w:rPr>
                <w:color w:val="000000"/>
              </w:rPr>
              <w:t>b)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555045" w:rsidRPr="00134FEF" w:rsidRDefault="00555045" w:rsidP="004E0A08">
            <w:pPr>
              <w:tabs>
                <w:tab w:val="left" w:pos="132"/>
              </w:tabs>
              <w:jc w:val="both"/>
              <w:rPr>
                <w:color w:val="000000"/>
                <w:sz w:val="24"/>
                <w:szCs w:val="24"/>
              </w:rPr>
            </w:pPr>
            <w:r w:rsidRPr="00134FEF">
              <w:rPr>
                <w:color w:val="000000"/>
                <w:sz w:val="24"/>
                <w:szCs w:val="24"/>
                <w:shd w:val="clear" w:color="auto" w:fill="FFFFFF"/>
              </w:rPr>
              <w:t>* Việc chuyển trường được thực hiện khi kết thúc học kỳ I của năm học hoặc trong thời gian hè trước khi khai giảng năm học mới. Trường hợp ngoại lệ về thời gian do Trưởng phòng Giáo dục và Đào tạo (đối với cấp trung học cơ sở), Giám đốc Sở Giáo dục và Đào tạo (đối với cấp trung học phổ thông) nơi đến xem xét, quyết định.</w:t>
            </w:r>
          </w:p>
        </w:tc>
      </w:tr>
      <w:tr w:rsidR="00555045" w:rsidRPr="00134FEF" w:rsidTr="004E0A08">
        <w:tc>
          <w:tcPr>
            <w:tcW w:w="2552" w:type="dxa"/>
            <w:shd w:val="clear" w:color="auto" w:fill="auto"/>
          </w:tcPr>
          <w:p w:rsidR="00555045" w:rsidRPr="00134FEF" w:rsidRDefault="00555045"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555045" w:rsidRPr="001A3A49" w:rsidRDefault="00555045" w:rsidP="004E0A08">
            <w:pPr>
              <w:tabs>
                <w:tab w:val="left" w:pos="132"/>
              </w:tabs>
              <w:jc w:val="both"/>
              <w:rPr>
                <w:i/>
                <w:color w:val="000000"/>
                <w:sz w:val="24"/>
                <w:szCs w:val="24"/>
              </w:rPr>
            </w:pPr>
            <w:r>
              <w:rPr>
                <w:i/>
                <w:color w:val="000000"/>
                <w:sz w:val="24"/>
                <w:szCs w:val="24"/>
              </w:rPr>
              <w:t xml:space="preserve">- </w:t>
            </w:r>
            <w:r w:rsidRPr="001A3A49">
              <w:rPr>
                <w:i/>
                <w:color w:val="000000"/>
                <w:sz w:val="24"/>
                <w:szCs w:val="24"/>
              </w:rPr>
              <w:t>Quyết định số 51/2002/QĐ-BGD&amp;ĐT ngày 25/12/2002 của Bộ</w:t>
            </w:r>
            <w:r w:rsidRPr="001A3A49">
              <w:rPr>
                <w:i/>
                <w:color w:val="FF0000"/>
                <w:sz w:val="24"/>
                <w:szCs w:val="24"/>
              </w:rPr>
              <w:t xml:space="preserve"> </w:t>
            </w:r>
            <w:r w:rsidRPr="001A3A49">
              <w:rPr>
                <w:i/>
                <w:color w:val="000000"/>
                <w:sz w:val="24"/>
                <w:szCs w:val="24"/>
                <w:shd w:val="clear" w:color="auto" w:fill="FFFFFF"/>
              </w:rPr>
              <w:t>Giáo dục và Đào tạo</w:t>
            </w:r>
          </w:p>
        </w:tc>
      </w:tr>
    </w:tbl>
    <w:p w:rsidR="00555045" w:rsidRPr="00134FEF" w:rsidRDefault="00555045" w:rsidP="00555045">
      <w:pPr>
        <w:rPr>
          <w:sz w:val="24"/>
          <w:szCs w:val="24"/>
        </w:rPr>
      </w:pPr>
    </w:p>
    <w:p w:rsidR="00555045" w:rsidRPr="00134FEF" w:rsidRDefault="00555045" w:rsidP="00555045">
      <w:pPr>
        <w:rPr>
          <w:sz w:val="24"/>
          <w:szCs w:val="24"/>
        </w:rPr>
      </w:pPr>
    </w:p>
    <w:p w:rsidR="00555045" w:rsidRPr="00134FEF" w:rsidRDefault="00555045" w:rsidP="00555045">
      <w:pPr>
        <w:rPr>
          <w:sz w:val="24"/>
          <w:szCs w:val="24"/>
        </w:rPr>
      </w:pPr>
    </w:p>
    <w:p w:rsidR="00555045" w:rsidRPr="00134FEF" w:rsidRDefault="00555045" w:rsidP="00555045">
      <w:pPr>
        <w:rPr>
          <w:sz w:val="24"/>
          <w:szCs w:val="24"/>
        </w:rPr>
      </w:pPr>
    </w:p>
    <w:p w:rsidR="0074722A" w:rsidRDefault="00555045" w:rsidP="00555045">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45"/>
    <w:rsid w:val="00555045"/>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55045"/>
    <w:pPr>
      <w:tabs>
        <w:tab w:val="left" w:pos="4320"/>
      </w:tabs>
      <w:spacing w:before="120"/>
      <w:jc w:val="both"/>
    </w:pPr>
    <w:rPr>
      <w:bCs/>
      <w:i/>
      <w:szCs w:val="24"/>
    </w:rPr>
  </w:style>
  <w:style w:type="character" w:customStyle="1" w:styleId="BodyText3Char">
    <w:name w:val="Body Text 3 Char"/>
    <w:basedOn w:val="DefaultParagraphFont"/>
    <w:link w:val="BodyText3"/>
    <w:rsid w:val="00555045"/>
    <w:rPr>
      <w:rFonts w:eastAsia="Times New Roman" w:cs="Times New Roman"/>
      <w:bCs/>
      <w:i/>
      <w:szCs w:val="24"/>
    </w:rPr>
  </w:style>
  <w:style w:type="paragraph" w:styleId="NormalWeb">
    <w:name w:val="Normal (Web)"/>
    <w:basedOn w:val="Normal"/>
    <w:uiPriority w:val="99"/>
    <w:rsid w:val="00555045"/>
    <w:pPr>
      <w:spacing w:before="100" w:beforeAutospacing="1" w:after="100" w:afterAutospacing="1"/>
    </w:pPr>
    <w:rPr>
      <w:sz w:val="24"/>
      <w:szCs w:val="24"/>
    </w:rPr>
  </w:style>
  <w:style w:type="character" w:customStyle="1" w:styleId="apple-converted-space">
    <w:name w:val="apple-converted-space"/>
    <w:basedOn w:val="DefaultParagraphFont"/>
    <w:rsid w:val="0055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55045"/>
    <w:pPr>
      <w:tabs>
        <w:tab w:val="left" w:pos="4320"/>
      </w:tabs>
      <w:spacing w:before="120"/>
      <w:jc w:val="both"/>
    </w:pPr>
    <w:rPr>
      <w:bCs/>
      <w:i/>
      <w:szCs w:val="24"/>
    </w:rPr>
  </w:style>
  <w:style w:type="character" w:customStyle="1" w:styleId="BodyText3Char">
    <w:name w:val="Body Text 3 Char"/>
    <w:basedOn w:val="DefaultParagraphFont"/>
    <w:link w:val="BodyText3"/>
    <w:rsid w:val="00555045"/>
    <w:rPr>
      <w:rFonts w:eastAsia="Times New Roman" w:cs="Times New Roman"/>
      <w:bCs/>
      <w:i/>
      <w:szCs w:val="24"/>
    </w:rPr>
  </w:style>
  <w:style w:type="paragraph" w:styleId="NormalWeb">
    <w:name w:val="Normal (Web)"/>
    <w:basedOn w:val="Normal"/>
    <w:uiPriority w:val="99"/>
    <w:rsid w:val="00555045"/>
    <w:pPr>
      <w:spacing w:before="100" w:beforeAutospacing="1" w:after="100" w:afterAutospacing="1"/>
    </w:pPr>
    <w:rPr>
      <w:sz w:val="24"/>
      <w:szCs w:val="24"/>
    </w:rPr>
  </w:style>
  <w:style w:type="character" w:customStyle="1" w:styleId="apple-converted-space">
    <w:name w:val="apple-converted-space"/>
    <w:basedOn w:val="DefaultParagraphFont"/>
    <w:rsid w:val="0055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2018-12-03T02:14:00Z</dcterms:created>
  <dcterms:modified xsi:type="dcterms:W3CDTF">2018-12-03T02:14:00Z</dcterms:modified>
</cp:coreProperties>
</file>