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825" w:rsidRPr="00134FEF" w:rsidRDefault="00E12825" w:rsidP="00E12825">
      <w:pPr>
        <w:spacing w:after="120"/>
        <w:ind w:firstLine="709"/>
        <w:jc w:val="both"/>
        <w:rPr>
          <w:b/>
          <w:i/>
          <w:sz w:val="24"/>
          <w:szCs w:val="24"/>
        </w:rPr>
      </w:pPr>
      <w:bookmarkStart w:id="0" w:name="_GoBack"/>
      <w:r w:rsidRPr="006A3153">
        <w:rPr>
          <w:b/>
          <w:sz w:val="26"/>
          <w:szCs w:val="24"/>
        </w:rPr>
        <w:t xml:space="preserve">Thủ tục: </w:t>
      </w:r>
      <w:r w:rsidRPr="006A3153">
        <w:rPr>
          <w:b/>
          <w:i/>
          <w:sz w:val="26"/>
          <w:szCs w:val="24"/>
        </w:rPr>
        <w:t>Hỗ trợ tiền ăn, tiền nhà ở cho học sinh trung học phổ thông ở vùng có điều kiện kinh tế -xã hội đặc biệt khó khăn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087"/>
      </w:tblGrid>
      <w:tr w:rsidR="00E12825" w:rsidRPr="00134FEF" w:rsidTr="004E0A08">
        <w:tc>
          <w:tcPr>
            <w:tcW w:w="2552" w:type="dxa"/>
            <w:shd w:val="clear" w:color="auto" w:fill="auto"/>
          </w:tcPr>
          <w:bookmarkEnd w:id="0"/>
          <w:p w:rsidR="00E12825" w:rsidRPr="00134FEF" w:rsidRDefault="00E12825" w:rsidP="004E0A08">
            <w:pPr>
              <w:tabs>
                <w:tab w:val="left" w:pos="132"/>
              </w:tabs>
              <w:jc w:val="both"/>
              <w:rPr>
                <w:b/>
                <w:color w:val="000000"/>
                <w:sz w:val="24"/>
                <w:szCs w:val="24"/>
              </w:rPr>
            </w:pPr>
            <w:r w:rsidRPr="00134FEF">
              <w:rPr>
                <w:b/>
                <w:color w:val="000000"/>
                <w:sz w:val="24"/>
                <w:szCs w:val="24"/>
              </w:rPr>
              <w:t>Trình tự thực hiện</w:t>
            </w:r>
          </w:p>
        </w:tc>
        <w:tc>
          <w:tcPr>
            <w:tcW w:w="7087" w:type="dxa"/>
            <w:shd w:val="clear" w:color="auto" w:fill="auto"/>
          </w:tcPr>
          <w:p w:rsidR="00E12825" w:rsidRPr="00134FEF" w:rsidRDefault="00E12825" w:rsidP="004E0A08">
            <w:pPr>
              <w:tabs>
                <w:tab w:val="left" w:pos="132"/>
              </w:tabs>
              <w:jc w:val="both"/>
              <w:rPr>
                <w:color w:val="000000"/>
                <w:sz w:val="24"/>
                <w:szCs w:val="24"/>
              </w:rPr>
            </w:pPr>
            <w:r w:rsidRPr="00134FEF">
              <w:rPr>
                <w:b/>
                <w:color w:val="000000"/>
                <w:sz w:val="24"/>
                <w:szCs w:val="24"/>
                <w:u w:val="single"/>
              </w:rPr>
              <w:t>Bước 1:</w:t>
            </w:r>
            <w:r w:rsidRPr="00134FEF">
              <w:rPr>
                <w:color w:val="000000"/>
                <w:sz w:val="24"/>
                <w:szCs w:val="24"/>
              </w:rPr>
              <w:t xml:space="preserve"> </w:t>
            </w:r>
            <w:r w:rsidRPr="00134FEF">
              <w:rPr>
                <w:color w:val="000000"/>
                <w:sz w:val="24"/>
                <w:szCs w:val="24"/>
                <w:lang w:val="vi-VN"/>
              </w:rPr>
              <w:t>H</w:t>
            </w:r>
            <w:r w:rsidRPr="00134FEF">
              <w:rPr>
                <w:color w:val="000000"/>
                <w:sz w:val="24"/>
                <w:szCs w:val="24"/>
              </w:rPr>
              <w:t>à</w:t>
            </w:r>
            <w:r w:rsidRPr="00134FEF">
              <w:rPr>
                <w:color w:val="000000"/>
                <w:sz w:val="24"/>
                <w:szCs w:val="24"/>
                <w:lang w:val="vi-VN"/>
              </w:rPr>
              <w:t>ng năm, sau ngày tựu trường, nhà trường tổ chức phổ biến, thông báo rộng rãi và hướng dẫn học sinh thuộc đối tượng được hưởng chính sách chuẩn bị hồ sơ đề nghị hỗ trợ</w:t>
            </w:r>
            <w:r w:rsidRPr="00134FEF">
              <w:rPr>
                <w:color w:val="000000"/>
                <w:sz w:val="24"/>
                <w:szCs w:val="24"/>
              </w:rPr>
              <w:t xml:space="preserve">. </w:t>
            </w:r>
          </w:p>
          <w:p w:rsidR="00E12825" w:rsidRPr="00134FEF" w:rsidRDefault="00E12825" w:rsidP="004E0A08">
            <w:pPr>
              <w:tabs>
                <w:tab w:val="left" w:pos="132"/>
              </w:tabs>
              <w:jc w:val="both"/>
              <w:rPr>
                <w:color w:val="000000"/>
                <w:sz w:val="24"/>
                <w:szCs w:val="24"/>
                <w:lang w:val="vi-VN"/>
              </w:rPr>
            </w:pPr>
            <w:r w:rsidRPr="00134FEF">
              <w:rPr>
                <w:b/>
                <w:color w:val="000000"/>
                <w:sz w:val="24"/>
                <w:szCs w:val="24"/>
                <w:u w:val="single"/>
              </w:rPr>
              <w:t xml:space="preserve">Bước 2: </w:t>
            </w:r>
            <w:r w:rsidRPr="00134FEF">
              <w:rPr>
                <w:color w:val="000000"/>
                <w:sz w:val="24"/>
                <w:szCs w:val="24"/>
                <w:lang w:val="vi-VN"/>
              </w:rPr>
              <w:t>Trong thời hạn 10 ngày làm việc, kể từ ngày niêm yết thông báo, học sinh nộp hồ sơ cho nhà trường. Khi nộp hồ sơ, học sinh phải xuất trình bản gốc kèm theo bản sao các loại giấy tờ theo quy định. Người nhận hồ sơ có trách nhiệm đối chiếu bản sao với bản gốc, ký xác nhận đã đối chiếu bản sao với bản gốc và ghi rõ họ tên vào bản sao để đưa vào hồ sơ của học sinh.</w:t>
            </w:r>
          </w:p>
          <w:p w:rsidR="00E12825" w:rsidRPr="007E46B7" w:rsidRDefault="00E12825" w:rsidP="004E0A08">
            <w:pPr>
              <w:pStyle w:val="BodyText"/>
              <w:tabs>
                <w:tab w:val="left" w:pos="132"/>
              </w:tabs>
              <w:spacing w:before="0"/>
              <w:rPr>
                <w:color w:val="000000"/>
                <w:sz w:val="24"/>
                <w:szCs w:val="24"/>
                <w:lang w:val="vi-VN"/>
              </w:rPr>
            </w:pPr>
            <w:r w:rsidRPr="007E46B7">
              <w:rPr>
                <w:rFonts w:eastAsia="Times New Roman"/>
                <w:b/>
                <w:color w:val="000000"/>
                <w:sz w:val="24"/>
                <w:szCs w:val="24"/>
                <w:u w:val="single"/>
                <w:lang w:val="vi-VN" w:eastAsia="en-US"/>
              </w:rPr>
              <w:t>Bước 3:</w:t>
            </w:r>
            <w:r w:rsidRPr="00134FEF">
              <w:rPr>
                <w:color w:val="000000"/>
                <w:sz w:val="24"/>
                <w:szCs w:val="24"/>
                <w:lang w:val="vi-VN"/>
              </w:rPr>
              <w:t xml:space="preserve"> Trong thời hạn 7 ngày làm việc, kể từ ngày hết hạn nộp hồ sơ, Hội đồng tổ chức xét duyệt và gửi danh sách học sinh được đề nghị hưởng chính sách kèm bản sao hồ sơ xét duyệt về tại Bộ phận “một cửa”, Sở Giáo dục và Đào tạo.</w:t>
            </w:r>
          </w:p>
          <w:p w:rsidR="00E12825" w:rsidRPr="007E46B7" w:rsidRDefault="00E12825" w:rsidP="004E0A08">
            <w:pPr>
              <w:pStyle w:val="BodyText"/>
              <w:tabs>
                <w:tab w:val="left" w:pos="132"/>
              </w:tabs>
              <w:spacing w:before="0"/>
              <w:rPr>
                <w:sz w:val="24"/>
                <w:szCs w:val="24"/>
                <w:lang w:val="vi-VN"/>
              </w:rPr>
            </w:pPr>
            <w:r w:rsidRPr="007E46B7">
              <w:rPr>
                <w:sz w:val="24"/>
                <w:szCs w:val="24"/>
                <w:lang w:val="vi-VN"/>
              </w:rPr>
              <w:t>-</w:t>
            </w:r>
            <w:r w:rsidRPr="008E7669">
              <w:rPr>
                <w:sz w:val="24"/>
                <w:szCs w:val="24"/>
                <w:lang w:val="vi-VN"/>
              </w:rPr>
              <w:t xml:space="preserve"> </w:t>
            </w:r>
            <w:r w:rsidRPr="007E46B7">
              <w:rPr>
                <w:sz w:val="24"/>
                <w:szCs w:val="24"/>
                <w:lang w:val="vi-VN"/>
              </w:rPr>
              <w:t>Địa chỉ: 22 Nguyễn Thái Học, thành phố Kon Tum, tỉnh Kon Tum.</w:t>
            </w:r>
          </w:p>
          <w:p w:rsidR="00E12825" w:rsidRPr="00134FEF" w:rsidRDefault="00E12825" w:rsidP="004E0A08">
            <w:pPr>
              <w:pStyle w:val="BodyText"/>
              <w:tabs>
                <w:tab w:val="left" w:pos="132"/>
              </w:tabs>
              <w:spacing w:before="0"/>
              <w:rPr>
                <w:color w:val="000000"/>
                <w:sz w:val="24"/>
                <w:szCs w:val="24"/>
                <w:lang w:val="vi-VN"/>
              </w:rPr>
            </w:pPr>
            <w:r w:rsidRPr="007E46B7">
              <w:rPr>
                <w:color w:val="000000"/>
                <w:sz w:val="24"/>
                <w:szCs w:val="24"/>
                <w:lang w:val="vi-VN"/>
              </w:rPr>
              <w:t xml:space="preserve">- </w:t>
            </w:r>
            <w:r w:rsidRPr="00134FEF">
              <w:rPr>
                <w:color w:val="000000"/>
                <w:sz w:val="24"/>
                <w:szCs w:val="24"/>
                <w:lang w:val="vi-VN"/>
              </w:rPr>
              <w:t>Thời gian: Buổi sáng từ 7h00 - 11h00 và buổi chiều từ 13h00 - 17h00 các ngày từ thứ 2 đến thứ 6 hàng tuần (trừ các ngày nghỉ lễ).</w:t>
            </w:r>
          </w:p>
          <w:p w:rsidR="00E12825" w:rsidRPr="00134FEF" w:rsidRDefault="00E12825" w:rsidP="004E0A08">
            <w:pPr>
              <w:tabs>
                <w:tab w:val="left" w:pos="132"/>
              </w:tabs>
              <w:jc w:val="both"/>
              <w:rPr>
                <w:color w:val="000000"/>
                <w:sz w:val="24"/>
                <w:szCs w:val="24"/>
                <w:lang w:val="vi-VN"/>
              </w:rPr>
            </w:pPr>
            <w:r w:rsidRPr="007E46B7">
              <w:rPr>
                <w:b/>
                <w:color w:val="000000"/>
                <w:sz w:val="24"/>
                <w:szCs w:val="24"/>
                <w:u w:val="single"/>
                <w:lang w:val="vi-VN"/>
              </w:rPr>
              <w:t>Bước 4:</w:t>
            </w:r>
            <w:r w:rsidRPr="00134FEF">
              <w:rPr>
                <w:color w:val="000000"/>
                <w:sz w:val="24"/>
                <w:szCs w:val="24"/>
                <w:lang w:val="vi-VN"/>
              </w:rPr>
              <w:t xml:space="preserve"> Trong thời hạn 7 ngày làm việc, kể từ khi nhận đủ hồ sơ của các trường, Sở Giáo dục và Đào tạo tổ chức thẩm định hồ sơ, tổng hợp danh sách các đối tượng học sinh được hưởng chính sách hỗ trợ của toàn tỉnh, trình Uỷ ban nhân dân cấp tỉnh phê duyệt.</w:t>
            </w:r>
          </w:p>
          <w:p w:rsidR="00E12825" w:rsidRPr="00134FEF" w:rsidRDefault="00E12825" w:rsidP="004E0A08">
            <w:pPr>
              <w:tabs>
                <w:tab w:val="left" w:pos="132"/>
              </w:tabs>
              <w:jc w:val="both"/>
              <w:rPr>
                <w:color w:val="000000"/>
                <w:sz w:val="24"/>
                <w:szCs w:val="24"/>
                <w:lang w:val="vi-VN"/>
              </w:rPr>
            </w:pPr>
            <w:r w:rsidRPr="007E46B7">
              <w:rPr>
                <w:b/>
                <w:color w:val="000000"/>
                <w:sz w:val="24"/>
                <w:szCs w:val="24"/>
                <w:u w:val="single"/>
                <w:lang w:val="vi-VN"/>
              </w:rPr>
              <w:t>Bước 5:</w:t>
            </w:r>
            <w:r w:rsidRPr="00134FEF">
              <w:rPr>
                <w:color w:val="000000"/>
                <w:sz w:val="24"/>
                <w:szCs w:val="24"/>
                <w:lang w:val="vi-VN"/>
              </w:rPr>
              <w:t xml:space="preserve"> Trong thời hạn 7 ngày làm việc, kể từ khi nhận hồ sơ trình của Sở Giáo dục và Đào tạo, Ủy ban nhân dân cấp tỉnh xem xét và phê duyệt danh sách học sinh được hưởng chính sách hỗ trợ.</w:t>
            </w:r>
          </w:p>
          <w:p w:rsidR="00E12825" w:rsidRPr="00134FEF" w:rsidRDefault="00E12825" w:rsidP="004E0A08">
            <w:pPr>
              <w:tabs>
                <w:tab w:val="left" w:pos="132"/>
              </w:tabs>
              <w:jc w:val="both"/>
              <w:rPr>
                <w:color w:val="000000"/>
                <w:sz w:val="24"/>
                <w:szCs w:val="24"/>
                <w:lang w:val="vi-VN"/>
              </w:rPr>
            </w:pPr>
            <w:r w:rsidRPr="007E46B7">
              <w:rPr>
                <w:b/>
                <w:color w:val="000000"/>
                <w:sz w:val="24"/>
                <w:szCs w:val="24"/>
                <w:u w:val="single"/>
                <w:lang w:val="vi-VN"/>
              </w:rPr>
              <w:t>Bước 6:</w:t>
            </w:r>
            <w:r w:rsidRPr="00134FEF">
              <w:rPr>
                <w:color w:val="000000"/>
                <w:sz w:val="24"/>
                <w:szCs w:val="24"/>
                <w:lang w:val="vi-VN"/>
              </w:rPr>
              <w:t xml:space="preserve"> Sở Giáo dục và Đào tạo gửi các trường kết quả phê duyệt danh sách học sinh được hưởng chính sách hỗ trợ của Ủy ban nhân dân tỉnh để nhà trường thông báo công khai kết quả và tổ chức triển khai thực hiện.</w:t>
            </w:r>
          </w:p>
        </w:tc>
      </w:tr>
      <w:tr w:rsidR="00E12825" w:rsidRPr="00134FEF" w:rsidTr="004E0A08">
        <w:tc>
          <w:tcPr>
            <w:tcW w:w="2552" w:type="dxa"/>
            <w:shd w:val="clear" w:color="auto" w:fill="auto"/>
          </w:tcPr>
          <w:p w:rsidR="00E12825" w:rsidRPr="00134FEF" w:rsidRDefault="00E12825" w:rsidP="004E0A08">
            <w:pPr>
              <w:tabs>
                <w:tab w:val="left" w:pos="132"/>
              </w:tabs>
              <w:jc w:val="both"/>
              <w:rPr>
                <w:b/>
                <w:color w:val="000000"/>
                <w:sz w:val="24"/>
                <w:szCs w:val="24"/>
              </w:rPr>
            </w:pPr>
            <w:r w:rsidRPr="00134FEF">
              <w:rPr>
                <w:b/>
                <w:color w:val="000000"/>
                <w:sz w:val="24"/>
                <w:szCs w:val="24"/>
              </w:rPr>
              <w:t>Cách thức thực hiện</w:t>
            </w:r>
          </w:p>
        </w:tc>
        <w:tc>
          <w:tcPr>
            <w:tcW w:w="7087" w:type="dxa"/>
            <w:shd w:val="clear" w:color="auto" w:fill="auto"/>
          </w:tcPr>
          <w:p w:rsidR="00E12825" w:rsidRPr="00134FEF" w:rsidRDefault="00E12825" w:rsidP="004E0A08">
            <w:pPr>
              <w:tabs>
                <w:tab w:val="left" w:pos="132"/>
              </w:tabs>
              <w:jc w:val="both"/>
              <w:rPr>
                <w:color w:val="000000"/>
                <w:sz w:val="24"/>
                <w:szCs w:val="24"/>
              </w:rPr>
            </w:pPr>
            <w:r w:rsidRPr="00134FEF">
              <w:rPr>
                <w:color w:val="000000"/>
                <w:sz w:val="24"/>
                <w:szCs w:val="24"/>
              </w:rPr>
              <w:t>Trực tiếp tại trụ sở cơ quan hành chính hoặc qua đường bưu điện</w:t>
            </w:r>
          </w:p>
        </w:tc>
      </w:tr>
      <w:tr w:rsidR="00E12825" w:rsidRPr="00134FEF" w:rsidTr="004E0A08">
        <w:tc>
          <w:tcPr>
            <w:tcW w:w="2552" w:type="dxa"/>
            <w:shd w:val="clear" w:color="auto" w:fill="auto"/>
          </w:tcPr>
          <w:p w:rsidR="00E12825" w:rsidRPr="00134FEF" w:rsidRDefault="00E12825" w:rsidP="004E0A08">
            <w:pPr>
              <w:tabs>
                <w:tab w:val="left" w:pos="132"/>
              </w:tabs>
              <w:jc w:val="both"/>
              <w:rPr>
                <w:b/>
                <w:color w:val="000000"/>
                <w:sz w:val="24"/>
                <w:szCs w:val="24"/>
              </w:rPr>
            </w:pPr>
            <w:r w:rsidRPr="00134FEF">
              <w:rPr>
                <w:b/>
                <w:color w:val="000000"/>
                <w:sz w:val="24"/>
                <w:szCs w:val="24"/>
              </w:rPr>
              <w:t>Thành phần, số lượng hồ sơ</w:t>
            </w:r>
          </w:p>
        </w:tc>
        <w:tc>
          <w:tcPr>
            <w:tcW w:w="7087" w:type="dxa"/>
            <w:shd w:val="clear" w:color="auto" w:fill="auto"/>
          </w:tcPr>
          <w:p w:rsidR="00E12825" w:rsidRPr="00801C82" w:rsidRDefault="00E12825" w:rsidP="004E0A08">
            <w:pPr>
              <w:pStyle w:val="BodyText"/>
              <w:spacing w:before="0"/>
              <w:ind w:firstLine="34"/>
              <w:rPr>
                <w:color w:val="000000"/>
                <w:sz w:val="24"/>
                <w:szCs w:val="24"/>
                <w:lang w:val="en-US"/>
              </w:rPr>
            </w:pPr>
            <w:r w:rsidRPr="00801C82">
              <w:rPr>
                <w:color w:val="000000"/>
                <w:sz w:val="24"/>
                <w:szCs w:val="24"/>
                <w:lang w:val="en-US"/>
              </w:rPr>
              <w:t>a) Thành phần hồ sơ, bao gồm:</w:t>
            </w:r>
          </w:p>
          <w:p w:rsidR="00E12825" w:rsidRPr="00134FEF" w:rsidRDefault="00E12825" w:rsidP="004E0A08">
            <w:pPr>
              <w:pStyle w:val="NormalWeb"/>
              <w:spacing w:before="0" w:beforeAutospacing="0" w:after="0" w:afterAutospacing="0"/>
              <w:ind w:firstLine="34"/>
              <w:jc w:val="both"/>
              <w:rPr>
                <w:color w:val="000000"/>
              </w:rPr>
            </w:pPr>
            <w:r w:rsidRPr="00134FEF">
              <w:rPr>
                <w:color w:val="000000"/>
              </w:rPr>
              <w:t>-</w:t>
            </w:r>
            <w:r w:rsidRPr="00134FEF">
              <w:rPr>
                <w:color w:val="000000"/>
                <w:lang w:val="vi-VN"/>
              </w:rPr>
              <w:t xml:space="preserve"> Đơn đề nghị hỗ trợ của học sinh </w:t>
            </w:r>
            <w:r w:rsidRPr="00134FEF">
              <w:rPr>
                <w:i/>
                <w:color w:val="000000"/>
                <w:lang w:val="vi-VN"/>
              </w:rPr>
              <w:t>(theo mẫu)</w:t>
            </w:r>
            <w:r w:rsidRPr="00134FEF">
              <w:rPr>
                <w:color w:val="000000"/>
                <w:lang w:val="vi-VN"/>
              </w:rPr>
              <w:t>;</w:t>
            </w:r>
          </w:p>
          <w:p w:rsidR="00E12825" w:rsidRPr="00134FEF" w:rsidRDefault="00E12825" w:rsidP="004E0A08">
            <w:pPr>
              <w:pStyle w:val="NormalWeb"/>
              <w:spacing w:before="0" w:beforeAutospacing="0" w:after="0" w:afterAutospacing="0"/>
              <w:ind w:firstLine="34"/>
              <w:jc w:val="both"/>
              <w:rPr>
                <w:color w:val="000000"/>
              </w:rPr>
            </w:pPr>
            <w:r w:rsidRPr="00134FEF">
              <w:rPr>
                <w:color w:val="000000"/>
              </w:rPr>
              <w:t>-</w:t>
            </w:r>
            <w:r w:rsidRPr="00134FEF">
              <w:rPr>
                <w:color w:val="000000"/>
                <w:lang w:val="vi-VN"/>
              </w:rPr>
              <w:t xml:space="preserve"> Bản sao Giấy khai sinh (đối với đối tượng học sinh là người dân tộc thiểu số);</w:t>
            </w:r>
          </w:p>
          <w:p w:rsidR="00E12825" w:rsidRPr="00134FEF" w:rsidRDefault="00E12825" w:rsidP="004E0A08">
            <w:pPr>
              <w:pStyle w:val="NormalWeb"/>
              <w:spacing w:before="0" w:beforeAutospacing="0" w:after="0" w:afterAutospacing="0"/>
              <w:ind w:firstLine="34"/>
              <w:jc w:val="both"/>
              <w:rPr>
                <w:color w:val="000000"/>
              </w:rPr>
            </w:pPr>
            <w:r w:rsidRPr="00134FEF">
              <w:rPr>
                <w:color w:val="000000"/>
              </w:rPr>
              <w:t>-</w:t>
            </w:r>
            <w:r w:rsidRPr="00134FEF">
              <w:rPr>
                <w:color w:val="000000"/>
                <w:lang w:val="vi-VN"/>
              </w:rPr>
              <w:t xml:space="preserve"> Bản sao Sổ hộ nghèo hoặc bản sao Giấy chứng nhận hộ nghèo (đối với đối tượng học sinh là người dân tộc Kinh);</w:t>
            </w:r>
          </w:p>
          <w:p w:rsidR="00E12825" w:rsidRPr="00134FEF" w:rsidRDefault="00E12825" w:rsidP="004E0A08">
            <w:pPr>
              <w:pStyle w:val="NormalWeb"/>
              <w:spacing w:before="0" w:beforeAutospacing="0" w:after="0" w:afterAutospacing="0"/>
              <w:ind w:firstLine="34"/>
              <w:jc w:val="both"/>
              <w:rPr>
                <w:color w:val="000000"/>
              </w:rPr>
            </w:pPr>
            <w:r w:rsidRPr="00134FEF">
              <w:rPr>
                <w:color w:val="000000"/>
              </w:rPr>
              <w:t>-</w:t>
            </w:r>
            <w:r w:rsidRPr="00134FEF">
              <w:rPr>
                <w:color w:val="000000"/>
                <w:lang w:val="vi-VN"/>
              </w:rPr>
              <w:t xml:space="preserve"> Bản sao Sổ hộ khẩu.</w:t>
            </w:r>
          </w:p>
          <w:p w:rsidR="00E12825" w:rsidRPr="00801C82" w:rsidRDefault="00E12825" w:rsidP="004E0A08">
            <w:pPr>
              <w:pStyle w:val="BodyText"/>
              <w:spacing w:before="0"/>
              <w:ind w:firstLine="34"/>
              <w:rPr>
                <w:color w:val="000000"/>
                <w:sz w:val="24"/>
                <w:szCs w:val="24"/>
                <w:lang w:val="en-US"/>
              </w:rPr>
            </w:pPr>
            <w:r w:rsidRPr="00801C82">
              <w:rPr>
                <w:color w:val="000000"/>
                <w:sz w:val="24"/>
                <w:szCs w:val="24"/>
                <w:lang w:val="en-US"/>
              </w:rPr>
              <w:t>b) Số lượng hồ sơ: 01 (bộ).</w:t>
            </w:r>
          </w:p>
        </w:tc>
      </w:tr>
      <w:tr w:rsidR="00E12825" w:rsidRPr="00134FEF" w:rsidTr="004E0A08">
        <w:tc>
          <w:tcPr>
            <w:tcW w:w="2552" w:type="dxa"/>
            <w:shd w:val="clear" w:color="auto" w:fill="auto"/>
          </w:tcPr>
          <w:p w:rsidR="00E12825" w:rsidRPr="00134FEF" w:rsidRDefault="00E12825" w:rsidP="004E0A08">
            <w:pPr>
              <w:tabs>
                <w:tab w:val="left" w:pos="132"/>
              </w:tabs>
              <w:jc w:val="both"/>
              <w:rPr>
                <w:b/>
                <w:color w:val="000000"/>
                <w:sz w:val="24"/>
                <w:szCs w:val="24"/>
              </w:rPr>
            </w:pPr>
            <w:r w:rsidRPr="00134FEF">
              <w:rPr>
                <w:b/>
                <w:color w:val="000000"/>
                <w:sz w:val="24"/>
                <w:szCs w:val="24"/>
              </w:rPr>
              <w:t>Thời gian giải quyết</w:t>
            </w:r>
          </w:p>
        </w:tc>
        <w:tc>
          <w:tcPr>
            <w:tcW w:w="7087" w:type="dxa"/>
            <w:shd w:val="clear" w:color="auto" w:fill="auto"/>
          </w:tcPr>
          <w:p w:rsidR="00E12825" w:rsidRPr="00134FEF" w:rsidRDefault="00E12825" w:rsidP="004E0A08">
            <w:pPr>
              <w:tabs>
                <w:tab w:val="left" w:pos="132"/>
              </w:tabs>
              <w:jc w:val="both"/>
              <w:rPr>
                <w:color w:val="000000"/>
                <w:sz w:val="24"/>
                <w:szCs w:val="24"/>
              </w:rPr>
            </w:pPr>
            <w:r w:rsidRPr="00134FEF">
              <w:rPr>
                <w:i/>
                <w:color w:val="000000"/>
                <w:sz w:val="24"/>
                <w:szCs w:val="24"/>
              </w:rPr>
              <w:t xml:space="preserve"> </w:t>
            </w:r>
            <w:r w:rsidRPr="00134FEF">
              <w:rPr>
                <w:color w:val="000000"/>
                <w:sz w:val="24"/>
                <w:szCs w:val="24"/>
              </w:rPr>
              <w:t>21 ngày làm việc, trong đó:</w:t>
            </w:r>
          </w:p>
          <w:p w:rsidR="00E12825" w:rsidRPr="00134FEF" w:rsidRDefault="00E12825" w:rsidP="004E0A08">
            <w:pPr>
              <w:tabs>
                <w:tab w:val="left" w:pos="132"/>
              </w:tabs>
              <w:jc w:val="both"/>
              <w:rPr>
                <w:color w:val="000000"/>
                <w:sz w:val="24"/>
                <w:szCs w:val="24"/>
              </w:rPr>
            </w:pPr>
            <w:r w:rsidRPr="00134FEF">
              <w:rPr>
                <w:color w:val="000000"/>
                <w:sz w:val="24"/>
                <w:szCs w:val="24"/>
              </w:rPr>
              <w:t xml:space="preserve">- </w:t>
            </w:r>
            <w:r w:rsidRPr="00134FEF">
              <w:rPr>
                <w:color w:val="000000"/>
                <w:sz w:val="24"/>
                <w:szCs w:val="24"/>
                <w:lang w:val="vi-VN"/>
              </w:rPr>
              <w:t xml:space="preserve">Hội đồng </w:t>
            </w:r>
            <w:r w:rsidRPr="00134FEF">
              <w:rPr>
                <w:color w:val="000000"/>
                <w:sz w:val="24"/>
                <w:szCs w:val="24"/>
              </w:rPr>
              <w:t xml:space="preserve">nhà trường </w:t>
            </w:r>
            <w:r w:rsidRPr="00134FEF">
              <w:rPr>
                <w:color w:val="000000"/>
                <w:sz w:val="24"/>
                <w:szCs w:val="24"/>
                <w:lang w:val="vi-VN"/>
              </w:rPr>
              <w:t>xét duyệt</w:t>
            </w:r>
            <w:r w:rsidRPr="00134FEF">
              <w:rPr>
                <w:color w:val="000000"/>
                <w:sz w:val="24"/>
                <w:szCs w:val="24"/>
              </w:rPr>
              <w:t>: 7 ngày.</w:t>
            </w:r>
          </w:p>
          <w:p w:rsidR="00E12825" w:rsidRPr="00134FEF" w:rsidRDefault="00E12825" w:rsidP="004E0A08">
            <w:pPr>
              <w:tabs>
                <w:tab w:val="left" w:pos="132"/>
              </w:tabs>
              <w:jc w:val="both"/>
              <w:rPr>
                <w:color w:val="000000"/>
                <w:sz w:val="24"/>
                <w:szCs w:val="24"/>
              </w:rPr>
            </w:pPr>
            <w:r w:rsidRPr="00134FEF">
              <w:rPr>
                <w:color w:val="000000"/>
                <w:sz w:val="24"/>
                <w:szCs w:val="24"/>
              </w:rPr>
              <w:t>- S</w:t>
            </w:r>
            <w:r w:rsidRPr="00134FEF">
              <w:rPr>
                <w:color w:val="000000"/>
                <w:sz w:val="24"/>
                <w:szCs w:val="24"/>
                <w:lang w:val="vi-VN"/>
              </w:rPr>
              <w:t xml:space="preserve">ở </w:t>
            </w:r>
            <w:r w:rsidRPr="00134FEF">
              <w:rPr>
                <w:color w:val="000000"/>
                <w:sz w:val="24"/>
                <w:szCs w:val="24"/>
              </w:rPr>
              <w:t>G</w:t>
            </w:r>
            <w:r w:rsidRPr="00134FEF">
              <w:rPr>
                <w:color w:val="000000"/>
                <w:sz w:val="24"/>
                <w:szCs w:val="24"/>
                <w:lang w:val="vi-VN"/>
              </w:rPr>
              <w:t xml:space="preserve">iáo dục và </w:t>
            </w:r>
            <w:r w:rsidRPr="00134FEF">
              <w:rPr>
                <w:color w:val="000000"/>
                <w:sz w:val="24"/>
                <w:szCs w:val="24"/>
              </w:rPr>
              <w:t>Đ</w:t>
            </w:r>
            <w:r w:rsidRPr="00134FEF">
              <w:rPr>
                <w:color w:val="000000"/>
                <w:sz w:val="24"/>
                <w:szCs w:val="24"/>
                <w:lang w:val="vi-VN"/>
              </w:rPr>
              <w:t>ào tạo</w:t>
            </w:r>
            <w:r w:rsidRPr="00134FEF">
              <w:rPr>
                <w:color w:val="000000"/>
                <w:sz w:val="24"/>
                <w:szCs w:val="24"/>
              </w:rPr>
              <w:t>: 7 ngày.</w:t>
            </w:r>
          </w:p>
          <w:p w:rsidR="00E12825" w:rsidRPr="00134FEF" w:rsidRDefault="00E12825" w:rsidP="004E0A08">
            <w:pPr>
              <w:tabs>
                <w:tab w:val="left" w:pos="132"/>
              </w:tabs>
              <w:jc w:val="both"/>
              <w:rPr>
                <w:color w:val="000000"/>
                <w:sz w:val="24"/>
                <w:szCs w:val="24"/>
              </w:rPr>
            </w:pPr>
            <w:r w:rsidRPr="00134FEF">
              <w:rPr>
                <w:color w:val="000000"/>
                <w:sz w:val="24"/>
                <w:szCs w:val="24"/>
              </w:rPr>
              <w:t xml:space="preserve">- </w:t>
            </w:r>
            <w:r w:rsidRPr="00134FEF">
              <w:rPr>
                <w:color w:val="000000"/>
                <w:sz w:val="24"/>
                <w:szCs w:val="24"/>
                <w:lang w:val="vi-VN"/>
              </w:rPr>
              <w:t>Ủy ban nhân dân tỉnh</w:t>
            </w:r>
            <w:r w:rsidRPr="00134FEF">
              <w:rPr>
                <w:color w:val="000000"/>
                <w:sz w:val="24"/>
                <w:szCs w:val="24"/>
              </w:rPr>
              <w:t>: 7 ngày.</w:t>
            </w:r>
          </w:p>
        </w:tc>
      </w:tr>
      <w:tr w:rsidR="00E12825" w:rsidRPr="00134FEF" w:rsidTr="004E0A08">
        <w:tc>
          <w:tcPr>
            <w:tcW w:w="2552" w:type="dxa"/>
            <w:shd w:val="clear" w:color="auto" w:fill="auto"/>
          </w:tcPr>
          <w:p w:rsidR="00E12825" w:rsidRPr="00134FEF" w:rsidRDefault="00E12825" w:rsidP="004E0A08">
            <w:pPr>
              <w:tabs>
                <w:tab w:val="left" w:pos="132"/>
              </w:tabs>
              <w:jc w:val="both"/>
              <w:rPr>
                <w:b/>
                <w:color w:val="000000"/>
                <w:sz w:val="24"/>
                <w:szCs w:val="24"/>
              </w:rPr>
            </w:pPr>
            <w:r w:rsidRPr="00134FEF">
              <w:rPr>
                <w:b/>
                <w:color w:val="000000"/>
                <w:sz w:val="24"/>
                <w:szCs w:val="24"/>
              </w:rPr>
              <w:t>Cơ quan thực hiện</w:t>
            </w:r>
          </w:p>
        </w:tc>
        <w:tc>
          <w:tcPr>
            <w:tcW w:w="7087" w:type="dxa"/>
            <w:shd w:val="clear" w:color="auto" w:fill="auto"/>
          </w:tcPr>
          <w:p w:rsidR="00E12825" w:rsidRPr="00134FEF" w:rsidRDefault="00E12825" w:rsidP="004E0A08">
            <w:pPr>
              <w:jc w:val="both"/>
              <w:rPr>
                <w:color w:val="000000"/>
                <w:sz w:val="24"/>
                <w:szCs w:val="24"/>
              </w:rPr>
            </w:pPr>
            <w:r w:rsidRPr="00134FEF">
              <w:rPr>
                <w:color w:val="000000"/>
                <w:sz w:val="24"/>
                <w:szCs w:val="24"/>
              </w:rPr>
              <w:t>- Cơ quan có thẩm quyền quyết định: UBND tỉnh;</w:t>
            </w:r>
          </w:p>
          <w:p w:rsidR="00E12825" w:rsidRPr="00134FEF" w:rsidRDefault="00E12825" w:rsidP="004E0A08">
            <w:pPr>
              <w:jc w:val="both"/>
              <w:rPr>
                <w:color w:val="000000"/>
                <w:sz w:val="24"/>
                <w:szCs w:val="24"/>
              </w:rPr>
            </w:pPr>
            <w:r w:rsidRPr="00134FEF">
              <w:rPr>
                <w:color w:val="000000"/>
                <w:sz w:val="24"/>
                <w:szCs w:val="24"/>
              </w:rPr>
              <w:t xml:space="preserve">- Cơ quan trực tiếp thực hiện TTHC: Sở Giáo dục </w:t>
            </w:r>
            <w:r w:rsidRPr="00C6646C">
              <w:rPr>
                <w:sz w:val="24"/>
                <w:szCs w:val="24"/>
              </w:rPr>
              <w:t>và Đào tạo</w:t>
            </w:r>
            <w:r w:rsidRPr="00134FEF">
              <w:rPr>
                <w:color w:val="000000"/>
                <w:sz w:val="24"/>
                <w:szCs w:val="24"/>
              </w:rPr>
              <w:t>, Trường Trung học phổ thông.</w:t>
            </w:r>
          </w:p>
        </w:tc>
      </w:tr>
      <w:tr w:rsidR="00E12825" w:rsidRPr="00134FEF" w:rsidTr="004E0A08">
        <w:tc>
          <w:tcPr>
            <w:tcW w:w="2552" w:type="dxa"/>
            <w:shd w:val="clear" w:color="auto" w:fill="auto"/>
          </w:tcPr>
          <w:p w:rsidR="00E12825" w:rsidRPr="00134FEF" w:rsidRDefault="00E12825" w:rsidP="004E0A08">
            <w:pPr>
              <w:tabs>
                <w:tab w:val="left" w:pos="132"/>
              </w:tabs>
              <w:jc w:val="both"/>
              <w:rPr>
                <w:b/>
                <w:color w:val="000000"/>
                <w:sz w:val="24"/>
                <w:szCs w:val="24"/>
              </w:rPr>
            </w:pPr>
            <w:r w:rsidRPr="00134FEF">
              <w:rPr>
                <w:b/>
                <w:color w:val="000000"/>
                <w:sz w:val="24"/>
                <w:szCs w:val="24"/>
              </w:rPr>
              <w:t>Đối tượng thực hiện</w:t>
            </w:r>
          </w:p>
        </w:tc>
        <w:tc>
          <w:tcPr>
            <w:tcW w:w="7087" w:type="dxa"/>
            <w:shd w:val="clear" w:color="auto" w:fill="auto"/>
          </w:tcPr>
          <w:p w:rsidR="00E12825" w:rsidRPr="00C6646C" w:rsidRDefault="00E12825" w:rsidP="004E0A08">
            <w:pPr>
              <w:jc w:val="both"/>
              <w:rPr>
                <w:sz w:val="24"/>
                <w:szCs w:val="24"/>
              </w:rPr>
            </w:pPr>
            <w:r w:rsidRPr="00C6646C">
              <w:rPr>
                <w:sz w:val="24"/>
                <w:szCs w:val="24"/>
              </w:rPr>
              <w:t>Cá nhân</w:t>
            </w:r>
          </w:p>
        </w:tc>
      </w:tr>
      <w:tr w:rsidR="00E12825" w:rsidRPr="00134FEF" w:rsidTr="004E0A08">
        <w:tc>
          <w:tcPr>
            <w:tcW w:w="2552" w:type="dxa"/>
            <w:shd w:val="clear" w:color="auto" w:fill="auto"/>
          </w:tcPr>
          <w:p w:rsidR="00E12825" w:rsidRPr="00134FEF" w:rsidRDefault="00E12825" w:rsidP="004E0A08">
            <w:pPr>
              <w:tabs>
                <w:tab w:val="left" w:pos="132"/>
              </w:tabs>
              <w:jc w:val="both"/>
              <w:rPr>
                <w:b/>
                <w:color w:val="000000"/>
                <w:sz w:val="24"/>
                <w:szCs w:val="24"/>
              </w:rPr>
            </w:pPr>
            <w:r w:rsidRPr="00134FEF">
              <w:rPr>
                <w:b/>
                <w:color w:val="000000"/>
                <w:sz w:val="24"/>
                <w:szCs w:val="24"/>
              </w:rPr>
              <w:lastRenderedPageBreak/>
              <w:t>Kết quả</w:t>
            </w:r>
          </w:p>
        </w:tc>
        <w:tc>
          <w:tcPr>
            <w:tcW w:w="7087" w:type="dxa"/>
            <w:shd w:val="clear" w:color="auto" w:fill="auto"/>
          </w:tcPr>
          <w:p w:rsidR="00E12825" w:rsidRPr="006A3153" w:rsidRDefault="00E12825" w:rsidP="004E0A08">
            <w:pPr>
              <w:jc w:val="both"/>
              <w:rPr>
                <w:color w:val="000000"/>
                <w:sz w:val="24"/>
                <w:szCs w:val="24"/>
              </w:rPr>
            </w:pPr>
            <w:r w:rsidRPr="006A3153">
              <w:rPr>
                <w:color w:val="000000"/>
                <w:sz w:val="24"/>
                <w:szCs w:val="24"/>
              </w:rPr>
              <w:t>Quyết định hành chính</w:t>
            </w:r>
          </w:p>
        </w:tc>
      </w:tr>
      <w:tr w:rsidR="00E12825" w:rsidRPr="00134FEF" w:rsidTr="004E0A08">
        <w:tc>
          <w:tcPr>
            <w:tcW w:w="2552" w:type="dxa"/>
            <w:shd w:val="clear" w:color="auto" w:fill="auto"/>
          </w:tcPr>
          <w:p w:rsidR="00E12825" w:rsidRPr="00134FEF" w:rsidRDefault="00E12825" w:rsidP="004E0A08">
            <w:pPr>
              <w:tabs>
                <w:tab w:val="left" w:pos="132"/>
              </w:tabs>
              <w:jc w:val="both"/>
              <w:rPr>
                <w:b/>
                <w:color w:val="000000"/>
                <w:sz w:val="24"/>
                <w:szCs w:val="24"/>
              </w:rPr>
            </w:pPr>
            <w:r w:rsidRPr="00134FEF">
              <w:rPr>
                <w:b/>
                <w:color w:val="000000"/>
                <w:sz w:val="24"/>
                <w:szCs w:val="24"/>
              </w:rPr>
              <w:t>Lệ phí</w:t>
            </w:r>
          </w:p>
        </w:tc>
        <w:tc>
          <w:tcPr>
            <w:tcW w:w="7087" w:type="dxa"/>
            <w:shd w:val="clear" w:color="auto" w:fill="auto"/>
          </w:tcPr>
          <w:p w:rsidR="00E12825" w:rsidRPr="00134FEF" w:rsidRDefault="00E12825" w:rsidP="004E0A08">
            <w:pPr>
              <w:jc w:val="both"/>
              <w:rPr>
                <w:color w:val="000000"/>
                <w:sz w:val="24"/>
                <w:szCs w:val="24"/>
              </w:rPr>
            </w:pPr>
            <w:r w:rsidRPr="00134FEF">
              <w:rPr>
                <w:color w:val="000000"/>
                <w:sz w:val="24"/>
                <w:szCs w:val="24"/>
              </w:rPr>
              <w:t>Không</w:t>
            </w:r>
          </w:p>
        </w:tc>
      </w:tr>
      <w:tr w:rsidR="00E12825" w:rsidRPr="00134FEF" w:rsidTr="004E0A08">
        <w:tc>
          <w:tcPr>
            <w:tcW w:w="2552" w:type="dxa"/>
            <w:shd w:val="clear" w:color="auto" w:fill="auto"/>
          </w:tcPr>
          <w:p w:rsidR="00E12825" w:rsidRPr="00134FEF" w:rsidRDefault="00E12825" w:rsidP="004E0A08">
            <w:pPr>
              <w:tabs>
                <w:tab w:val="left" w:pos="132"/>
              </w:tabs>
              <w:jc w:val="both"/>
              <w:rPr>
                <w:b/>
                <w:color w:val="000000"/>
                <w:sz w:val="24"/>
                <w:szCs w:val="24"/>
              </w:rPr>
            </w:pPr>
            <w:r w:rsidRPr="00134FEF">
              <w:rPr>
                <w:b/>
                <w:color w:val="000000"/>
                <w:sz w:val="24"/>
                <w:szCs w:val="24"/>
              </w:rPr>
              <w:t xml:space="preserve">Tên mẫu đơn, tờ khai </w:t>
            </w:r>
          </w:p>
        </w:tc>
        <w:tc>
          <w:tcPr>
            <w:tcW w:w="7087" w:type="dxa"/>
            <w:shd w:val="clear" w:color="auto" w:fill="auto"/>
          </w:tcPr>
          <w:p w:rsidR="00E12825" w:rsidRPr="00134FEF" w:rsidRDefault="00E12825" w:rsidP="004E0A08">
            <w:pPr>
              <w:jc w:val="both"/>
              <w:rPr>
                <w:color w:val="000000"/>
                <w:sz w:val="24"/>
                <w:szCs w:val="24"/>
              </w:rPr>
            </w:pPr>
            <w:r w:rsidRPr="00134FEF">
              <w:rPr>
                <w:rStyle w:val="apple-converted-space"/>
                <w:color w:val="000000"/>
                <w:sz w:val="24"/>
                <w:szCs w:val="24"/>
                <w:shd w:val="clear" w:color="auto" w:fill="FFFFFF"/>
              </w:rPr>
              <w:t> </w:t>
            </w:r>
            <w:r w:rsidRPr="00134FEF">
              <w:rPr>
                <w:color w:val="000000"/>
                <w:sz w:val="24"/>
                <w:szCs w:val="24"/>
                <w:shd w:val="clear" w:color="auto" w:fill="FFFFFF"/>
              </w:rPr>
              <w:t xml:space="preserve">Đơn đề nghị hỗ trợ của học sinh </w:t>
            </w:r>
            <w:r w:rsidRPr="00134FEF">
              <w:rPr>
                <w:i/>
                <w:color w:val="000000"/>
                <w:sz w:val="24"/>
                <w:szCs w:val="24"/>
                <w:shd w:val="clear" w:color="auto" w:fill="FFFFFF"/>
              </w:rPr>
              <w:t xml:space="preserve">(Phụ lục kèm theo </w:t>
            </w:r>
            <w:r w:rsidRPr="00134FEF">
              <w:rPr>
                <w:i/>
                <w:iCs/>
                <w:color w:val="000000"/>
                <w:sz w:val="24"/>
                <w:szCs w:val="24"/>
                <w:lang w:val="vi-VN"/>
              </w:rPr>
              <w:t>Thông tư liên tịch số 27/2013/TTLT-BGDĐT-BTC  ngày 16</w:t>
            </w:r>
            <w:r w:rsidRPr="00134FEF">
              <w:rPr>
                <w:i/>
                <w:iCs/>
                <w:color w:val="000000"/>
                <w:sz w:val="24"/>
                <w:szCs w:val="24"/>
              </w:rPr>
              <w:t>/</w:t>
            </w:r>
            <w:r w:rsidRPr="00134FEF">
              <w:rPr>
                <w:i/>
                <w:iCs/>
                <w:color w:val="000000"/>
                <w:sz w:val="24"/>
                <w:szCs w:val="24"/>
                <w:lang w:val="vi-VN"/>
              </w:rPr>
              <w:t>7</w:t>
            </w:r>
            <w:r w:rsidRPr="00134FEF">
              <w:rPr>
                <w:i/>
                <w:iCs/>
                <w:color w:val="000000"/>
                <w:sz w:val="24"/>
                <w:szCs w:val="24"/>
              </w:rPr>
              <w:t>/</w:t>
            </w:r>
            <w:r w:rsidRPr="00134FEF">
              <w:rPr>
                <w:i/>
                <w:iCs/>
                <w:color w:val="000000"/>
                <w:sz w:val="24"/>
                <w:szCs w:val="24"/>
                <w:lang w:val="vi-VN"/>
              </w:rPr>
              <w:t>2013</w:t>
            </w:r>
            <w:r w:rsidRPr="00134FEF">
              <w:rPr>
                <w:i/>
                <w:iCs/>
                <w:color w:val="000000"/>
                <w:sz w:val="24"/>
                <w:szCs w:val="24"/>
              </w:rPr>
              <w:t>)</w:t>
            </w:r>
          </w:p>
        </w:tc>
      </w:tr>
      <w:tr w:rsidR="00E12825" w:rsidRPr="00134FEF" w:rsidTr="004E0A08">
        <w:tc>
          <w:tcPr>
            <w:tcW w:w="2552" w:type="dxa"/>
            <w:shd w:val="clear" w:color="auto" w:fill="auto"/>
          </w:tcPr>
          <w:p w:rsidR="00E12825" w:rsidRPr="00134FEF" w:rsidRDefault="00E12825" w:rsidP="004E0A08">
            <w:pPr>
              <w:tabs>
                <w:tab w:val="left" w:pos="132"/>
              </w:tabs>
              <w:jc w:val="both"/>
              <w:rPr>
                <w:b/>
                <w:color w:val="000000"/>
                <w:sz w:val="24"/>
                <w:szCs w:val="24"/>
              </w:rPr>
            </w:pPr>
            <w:r w:rsidRPr="00134FEF">
              <w:rPr>
                <w:b/>
                <w:color w:val="000000"/>
                <w:sz w:val="24"/>
                <w:szCs w:val="24"/>
              </w:rPr>
              <w:t xml:space="preserve">Yêu cầu, điều kiện </w:t>
            </w:r>
          </w:p>
        </w:tc>
        <w:tc>
          <w:tcPr>
            <w:tcW w:w="7087" w:type="dxa"/>
            <w:shd w:val="clear" w:color="auto" w:fill="auto"/>
          </w:tcPr>
          <w:p w:rsidR="00E12825" w:rsidRPr="00134FEF" w:rsidRDefault="00E12825" w:rsidP="004E0A08">
            <w:pPr>
              <w:jc w:val="both"/>
              <w:rPr>
                <w:color w:val="000000"/>
                <w:sz w:val="24"/>
                <w:szCs w:val="24"/>
              </w:rPr>
            </w:pPr>
            <w:r w:rsidRPr="00134FEF">
              <w:rPr>
                <w:color w:val="000000"/>
                <w:sz w:val="24"/>
                <w:szCs w:val="24"/>
                <w:lang w:val="vi-VN"/>
              </w:rPr>
              <w:t>1. Đối với học sinh là người dân tộc thiểu số, phải bảo đảm các điều kiện sau:</w:t>
            </w:r>
          </w:p>
          <w:p w:rsidR="00E12825" w:rsidRPr="00134FEF" w:rsidRDefault="00E12825" w:rsidP="004E0A08">
            <w:pPr>
              <w:jc w:val="both"/>
              <w:rPr>
                <w:color w:val="000000"/>
                <w:sz w:val="24"/>
                <w:szCs w:val="24"/>
              </w:rPr>
            </w:pPr>
            <w:r w:rsidRPr="00134FEF">
              <w:rPr>
                <w:color w:val="000000"/>
                <w:sz w:val="24"/>
                <w:szCs w:val="24"/>
                <w:lang w:val="vi-VN"/>
              </w:rPr>
              <w:t>a) Đang học cấp trung học phổ thông tại trường trung học phổ thông hoặc trường phổ thông có nhiều cấp học (có cấp trung học phổ thông) thuộc loại hình công lập;</w:t>
            </w:r>
          </w:p>
          <w:p w:rsidR="00E12825" w:rsidRDefault="00E12825" w:rsidP="004E0A08">
            <w:pPr>
              <w:jc w:val="both"/>
              <w:rPr>
                <w:i/>
                <w:color w:val="000000"/>
                <w:sz w:val="24"/>
                <w:szCs w:val="24"/>
              </w:rPr>
            </w:pPr>
            <w:r w:rsidRPr="00134FEF">
              <w:rPr>
                <w:color w:val="000000"/>
                <w:sz w:val="24"/>
                <w:szCs w:val="24"/>
                <w:lang w:val="vi-VN"/>
              </w:rPr>
              <w:t xml:space="preserve">b) Bản thân, bố, mẹ hoặc người giám hộ có hộ khẩu thường trú tại xã, thôn có điều kiện kinh tế - xã hội đặc biệt khó </w:t>
            </w:r>
            <w:r w:rsidRPr="00C6646C">
              <w:rPr>
                <w:sz w:val="24"/>
                <w:szCs w:val="24"/>
                <w:lang w:val="vi-VN"/>
              </w:rPr>
              <w:t xml:space="preserve">khăn theo quy định tại Điều 3 của Thông tư liên </w:t>
            </w:r>
            <w:r w:rsidRPr="00C6646C">
              <w:rPr>
                <w:sz w:val="24"/>
                <w:szCs w:val="24"/>
              </w:rPr>
              <w:t>tịch số 27/2013/TTLT-BGD ĐT-BTC, ngày 16/7/2013 của liên bộ Giáo dục và Đào tạo và Bộ Tài chính</w:t>
            </w:r>
            <w:r>
              <w:rPr>
                <w:i/>
                <w:color w:val="000000"/>
                <w:sz w:val="24"/>
                <w:szCs w:val="24"/>
              </w:rPr>
              <w:t>, cụ thể:</w:t>
            </w:r>
          </w:p>
          <w:p w:rsidR="00E12825" w:rsidRPr="00385BAB" w:rsidRDefault="00E12825" w:rsidP="004E0A08">
            <w:pPr>
              <w:pStyle w:val="NormalWeb"/>
              <w:spacing w:before="0" w:beforeAutospacing="0" w:after="0" w:afterAutospacing="0"/>
              <w:jc w:val="both"/>
            </w:pPr>
            <w:r w:rsidRPr="00385BAB">
              <w:rPr>
                <w:lang w:val="vi-VN"/>
              </w:rPr>
              <w:t>1. Các xã đặc biệt khó khăn được quy định tại các văn bản sau:</w:t>
            </w:r>
          </w:p>
          <w:p w:rsidR="00E12825" w:rsidRPr="00385BAB" w:rsidRDefault="00E12825" w:rsidP="004E0A08">
            <w:pPr>
              <w:pStyle w:val="NormalWeb"/>
              <w:spacing w:before="0" w:beforeAutospacing="0" w:after="0" w:afterAutospacing="0"/>
              <w:jc w:val="both"/>
            </w:pPr>
            <w:r w:rsidRPr="00385BAB">
              <w:rPr>
                <w:lang w:val="vi-VN"/>
              </w:rPr>
              <w:t>a) Quyết định số 164/2006/QĐ-TTg ngày 11 tháng 7 năm 2006 của Thủ tướng Chính phủ về phê duyệt danh sách xã đặc biệt khó khăn, xã biên giới, xã an toàn khu vào diện đầu tư Chương trình phát triển kinh tế - xã hội các xã đặc biệt khó khăn vùng đồng bào dân tộc và miền núi giai đoạn 2006-2010 (Chương trình 135 giai đoạn II);</w:t>
            </w:r>
          </w:p>
          <w:p w:rsidR="00E12825" w:rsidRPr="00385BAB" w:rsidRDefault="00E12825" w:rsidP="004E0A08">
            <w:pPr>
              <w:pStyle w:val="NormalWeb"/>
              <w:spacing w:before="0" w:beforeAutospacing="0" w:after="0" w:afterAutospacing="0"/>
              <w:jc w:val="both"/>
            </w:pPr>
            <w:r w:rsidRPr="00385BAB">
              <w:rPr>
                <w:lang w:val="vi-VN"/>
              </w:rPr>
              <w:t>b) Quyết định số 05/2007/QĐ-UBDT ngày 6 tháng 9 năm 2007 của Bộ trưởng, Chủ nhiệm Ủy ban Dân tộc về việc công nhận 3 khu vực vùng dân tộc thiểu số và miền núi theo trình độ phát triển;</w:t>
            </w:r>
          </w:p>
          <w:p w:rsidR="00E12825" w:rsidRPr="00385BAB" w:rsidRDefault="00E12825" w:rsidP="004E0A08">
            <w:pPr>
              <w:pStyle w:val="NormalWeb"/>
              <w:spacing w:before="0" w:beforeAutospacing="0" w:after="0" w:afterAutospacing="0"/>
              <w:jc w:val="both"/>
              <w:rPr>
                <w:spacing w:val="-4"/>
              </w:rPr>
            </w:pPr>
            <w:r w:rsidRPr="00385BAB">
              <w:rPr>
                <w:spacing w:val="-4"/>
                <w:lang w:val="vi-VN"/>
              </w:rPr>
              <w:t>c) Quyết định số 69/2008/QĐ-TTg ngày 28 tháng 5 năm 2008 của Thủ tướng Chính phủ về việc phê duyệt bổ sung danh sách xã đặc biệt khó khăn, xã biên giới, xã an toàn khu vào diện đầu tư Chương trình 135 giai đoạn II và danh sách xã ra khỏi diện đầu tư của Chương trình 135 giai đoạn II;</w:t>
            </w:r>
          </w:p>
          <w:p w:rsidR="00E12825" w:rsidRPr="00385BAB" w:rsidRDefault="00E12825" w:rsidP="004E0A08">
            <w:pPr>
              <w:pStyle w:val="NormalWeb"/>
              <w:spacing w:before="0" w:beforeAutospacing="0" w:after="0" w:afterAutospacing="0"/>
              <w:jc w:val="both"/>
            </w:pPr>
            <w:r w:rsidRPr="00385BAB">
              <w:rPr>
                <w:lang w:val="vi-VN"/>
              </w:rPr>
              <w:t>d) Nghị quyết số 30a/2008/NQ-CP ngày 27 tháng 12 năm 2008 của Chính phủ về Chương trình hỗ trợ giảm nghèo nhanh và bền vững đối với 62 huyện nghèo;</w:t>
            </w:r>
          </w:p>
          <w:p w:rsidR="00E12825" w:rsidRPr="00385BAB" w:rsidRDefault="00E12825" w:rsidP="004E0A08">
            <w:pPr>
              <w:pStyle w:val="NormalWeb"/>
              <w:spacing w:before="0" w:beforeAutospacing="0" w:after="0" w:afterAutospacing="0"/>
              <w:jc w:val="both"/>
            </w:pPr>
            <w:r w:rsidRPr="00385BAB">
              <w:rPr>
                <w:lang w:val="vi-VN"/>
              </w:rPr>
              <w:t>đ) Quyết định số 1105/QĐ-TTg ngày 28 tháng 7 năm 2009 của Thủ tướng Chính phủ về việc phê duyệt bổ sung danh sách xã đặc biệt khó khăn, xã biên giới, xã an toàn khu vào diện Chương trình 135 giai đoạn II và danh sách xã hoàn thành mục tiêu, ra khỏi diện đầu tư của Chương trình 135 giai đoạn II;</w:t>
            </w:r>
          </w:p>
          <w:p w:rsidR="00E12825" w:rsidRPr="00385BAB" w:rsidRDefault="00E12825" w:rsidP="004E0A08">
            <w:pPr>
              <w:pStyle w:val="NormalWeb"/>
              <w:spacing w:before="0" w:beforeAutospacing="0" w:after="0" w:afterAutospacing="0"/>
              <w:jc w:val="both"/>
            </w:pPr>
            <w:r w:rsidRPr="00385BAB">
              <w:t>e) Quyết định số 231/QĐ-TTg ngày 23 tháng 02 năm 2012 của Thủ tướng Chính phủ về việc phê duyệt danh sách xã hoàn thành mục tiêu Chương trình 135 năm 2010;</w:t>
            </w:r>
          </w:p>
          <w:p w:rsidR="00E12825" w:rsidRPr="00385BAB" w:rsidRDefault="00E12825" w:rsidP="004E0A08">
            <w:pPr>
              <w:pStyle w:val="NormalWeb"/>
              <w:spacing w:before="0" w:beforeAutospacing="0" w:after="0" w:afterAutospacing="0"/>
              <w:jc w:val="both"/>
            </w:pPr>
            <w:r w:rsidRPr="00385BAB">
              <w:t>g</w:t>
            </w:r>
            <w:r w:rsidRPr="00385BAB">
              <w:rPr>
                <w:lang w:val="vi-VN"/>
              </w:rPr>
              <w:t>) Quyết định số 539/QĐ-TTg ngày 01 tháng 4 năm 2013 của Thủ tướng Chính phủ về việc phê duyệt Danh sách các xã đặc biệt khó khăn vùng bãi ngang ven biển và hải đảo giai đoạn 2013-2015.</w:t>
            </w:r>
          </w:p>
          <w:p w:rsidR="00E12825" w:rsidRPr="00385BAB" w:rsidRDefault="00E12825" w:rsidP="004E0A08">
            <w:pPr>
              <w:pStyle w:val="NormalWeb"/>
              <w:spacing w:before="0" w:beforeAutospacing="0" w:after="0" w:afterAutospacing="0"/>
              <w:jc w:val="both"/>
            </w:pPr>
            <w:r w:rsidRPr="00385BAB">
              <w:rPr>
                <w:lang w:val="vi-VN"/>
              </w:rPr>
              <w:t>2. Các thôn, buôn, xóm, bản, làng, phum, sóc, ấp (gọi chung là thôn) đặc biệt khó khăn được quy định tại các Quyết định sau:</w:t>
            </w:r>
          </w:p>
          <w:p w:rsidR="00E12825" w:rsidRPr="00385BAB" w:rsidRDefault="00E12825" w:rsidP="004E0A08">
            <w:pPr>
              <w:pStyle w:val="NormalWeb"/>
              <w:spacing w:before="0" w:beforeAutospacing="0" w:after="0" w:afterAutospacing="0"/>
              <w:jc w:val="both"/>
            </w:pPr>
            <w:r w:rsidRPr="00385BAB">
              <w:rPr>
                <w:lang w:val="vi-VN"/>
              </w:rPr>
              <w:t xml:space="preserve">a) </w:t>
            </w:r>
            <w:r w:rsidRPr="00385BAB">
              <w:rPr>
                <w:spacing w:val="-4"/>
                <w:lang w:val="vi-VN"/>
              </w:rPr>
              <w:t xml:space="preserve">Quyết định số 01/2008/QĐ-UBDT ngày 11 tháng 01 năm 2008 của Bộ trưởng, Chủ nhiệm Uỷ ban Dân tộc về việc phê duyệt danh sách thôn đặc biệt khó khăn thuộc xã khu vực II vào diện đầu tư của Chương trình 135 </w:t>
            </w:r>
            <w:r w:rsidRPr="00385BAB">
              <w:rPr>
                <w:spacing w:val="-4"/>
                <w:lang w:val="vi-VN"/>
              </w:rPr>
              <w:lastRenderedPageBreak/>
              <w:t>giai đoạn II;</w:t>
            </w:r>
          </w:p>
          <w:p w:rsidR="00E12825" w:rsidRPr="00385BAB" w:rsidRDefault="00E12825" w:rsidP="004E0A08">
            <w:pPr>
              <w:pStyle w:val="NormalWeb"/>
              <w:spacing w:before="0" w:beforeAutospacing="0" w:after="0" w:afterAutospacing="0"/>
              <w:jc w:val="both"/>
            </w:pPr>
            <w:r w:rsidRPr="00385BAB">
              <w:rPr>
                <w:lang w:val="vi-VN"/>
              </w:rPr>
              <w:t>b)</w:t>
            </w:r>
            <w:r w:rsidRPr="00385BAB">
              <w:rPr>
                <w:spacing w:val="-4"/>
                <w:lang w:val="vi-VN"/>
              </w:rPr>
              <w:t xml:space="preserve"> Quyết định số 325/QĐ-UBDT ngày 19 tháng 10 năm 2009 của Bộ trưởng, Chủ nhiệm Uỷ ban Dân tộc về việc phê duyệt danh sách thôn đặc biệt khó khăn thuộc xã khu vực II vào diện đầu tư của Chương trình 135 giai đoạn II.</w:t>
            </w:r>
          </w:p>
          <w:p w:rsidR="00E12825" w:rsidRPr="00385BAB" w:rsidRDefault="00E12825" w:rsidP="004E0A08">
            <w:pPr>
              <w:pStyle w:val="NormalWeb"/>
              <w:spacing w:before="0" w:beforeAutospacing="0" w:after="0" w:afterAutospacing="0"/>
              <w:jc w:val="both"/>
            </w:pPr>
            <w:r w:rsidRPr="00385BAB">
              <w:rPr>
                <w:spacing w:val="-4"/>
                <w:lang w:val="vi-VN"/>
              </w:rPr>
              <w:t>3</w:t>
            </w:r>
            <w:r w:rsidRPr="00385BAB">
              <w:rPr>
                <w:lang w:val="vi-VN"/>
              </w:rPr>
              <w:t>. Các quyết định khác của cơ quan Nhà nước có thẩm quyền sửa đổi, bổ sung hoặc quy định mới về danh sách các xã đặc biệt khó khăn (xã khu vực III), thôn đặc biệt khó khăn (nếu có).</w:t>
            </w:r>
          </w:p>
          <w:p w:rsidR="00E12825" w:rsidRPr="007E46B7" w:rsidRDefault="00E12825" w:rsidP="004E0A08">
            <w:pPr>
              <w:jc w:val="both"/>
              <w:rPr>
                <w:color w:val="000000"/>
                <w:sz w:val="24"/>
                <w:szCs w:val="24"/>
                <w:lang w:val="vi-VN"/>
              </w:rPr>
            </w:pPr>
            <w:r w:rsidRPr="00134FEF">
              <w:rPr>
                <w:color w:val="000000"/>
                <w:sz w:val="24"/>
                <w:szCs w:val="24"/>
                <w:lang w:val="vi-VN"/>
              </w:rPr>
              <w:t>c) Nhà ở xa trường hoặc địa hình cách trở, giao thông đi lại khó khăn, không thể đi đến trường và trở về nhà trong ngày, phải ở lại trường hoặc khu vực gần trường để học tập. Cụ thể:</w:t>
            </w:r>
          </w:p>
          <w:p w:rsidR="00E12825" w:rsidRPr="00134FEF" w:rsidRDefault="00E12825" w:rsidP="004E0A08">
            <w:pPr>
              <w:jc w:val="both"/>
              <w:rPr>
                <w:color w:val="000000"/>
                <w:sz w:val="24"/>
                <w:szCs w:val="24"/>
                <w:lang w:val="vi-VN"/>
              </w:rPr>
            </w:pPr>
            <w:r w:rsidRPr="00134FEF">
              <w:rPr>
                <w:color w:val="000000"/>
                <w:sz w:val="24"/>
                <w:szCs w:val="24"/>
                <w:lang w:val="vi-VN"/>
              </w:rPr>
              <w:t>- Đối với trường hợp nhà ở xa trường: Khoảng cách quãng đường đi từ nhà đến trường từ 10 km trở lên;</w:t>
            </w:r>
          </w:p>
          <w:p w:rsidR="00E12825" w:rsidRPr="00134FEF" w:rsidRDefault="00E12825" w:rsidP="004E0A08">
            <w:pPr>
              <w:jc w:val="both"/>
              <w:rPr>
                <w:color w:val="000000"/>
                <w:sz w:val="24"/>
                <w:szCs w:val="24"/>
                <w:lang w:val="vi-VN"/>
              </w:rPr>
            </w:pPr>
            <w:r w:rsidRPr="00134FEF">
              <w:rPr>
                <w:color w:val="000000"/>
                <w:sz w:val="24"/>
                <w:szCs w:val="24"/>
                <w:lang w:val="vi-VN"/>
              </w:rPr>
              <w:t>- Đối với trường hợp địa hình cách trở, giao thông đi lại khó khăn: học sinh đi học phải qua sông, suối không có cầu; qua đèo, núi cao; qua vùng sạt lở đất, đá. Tùy điều kiện thực tế của từng địa phương, Ủy ban nhân dân tỉnh, thành phố trực thuộc Trung ương (sau đây gọi chung là Ủy ban nhân dân cấp tỉnh) quy định cụ thể khoảng cách và địa bàn để xác định đối tượng học sinh không thể đi đến trường và trở về nhà trong ngày.</w:t>
            </w:r>
          </w:p>
          <w:p w:rsidR="00E12825" w:rsidRPr="00134FEF" w:rsidRDefault="00E12825" w:rsidP="004E0A08">
            <w:pPr>
              <w:jc w:val="both"/>
              <w:rPr>
                <w:color w:val="000000"/>
                <w:sz w:val="24"/>
                <w:szCs w:val="24"/>
                <w:lang w:val="vi-VN"/>
              </w:rPr>
            </w:pPr>
            <w:r w:rsidRPr="00134FEF">
              <w:rPr>
                <w:color w:val="000000"/>
                <w:sz w:val="24"/>
                <w:szCs w:val="24"/>
                <w:lang w:val="vi-VN"/>
              </w:rPr>
              <w:t xml:space="preserve">2. Đối với học sinh là người dân tộc Kinh: </w:t>
            </w:r>
          </w:p>
          <w:p w:rsidR="00E12825" w:rsidRPr="007E46B7" w:rsidRDefault="00E12825" w:rsidP="004E0A08">
            <w:pPr>
              <w:jc w:val="both"/>
              <w:rPr>
                <w:color w:val="FF0000"/>
                <w:sz w:val="24"/>
                <w:szCs w:val="24"/>
                <w:lang w:val="vi-VN"/>
              </w:rPr>
            </w:pPr>
            <w:r w:rsidRPr="00134FEF">
              <w:rPr>
                <w:color w:val="000000"/>
                <w:sz w:val="24"/>
                <w:szCs w:val="24"/>
                <w:lang w:val="vi-VN"/>
              </w:rPr>
              <w:t xml:space="preserve">Ngoài các điều kiện quy định như trên, học sinh phải thuộc hộ nghèo theo chuẩn hộ nghèo </w:t>
            </w:r>
            <w:r w:rsidRPr="00385BAB">
              <w:rPr>
                <w:sz w:val="24"/>
                <w:szCs w:val="24"/>
                <w:lang w:val="vi-VN"/>
              </w:rPr>
              <w:t xml:space="preserve">quy định tại Quyết định số </w:t>
            </w:r>
            <w:hyperlink r:id="rId5" w:tgtFrame="_blank" w:history="1">
              <w:r w:rsidRPr="00385BAB">
                <w:rPr>
                  <w:sz w:val="24"/>
                  <w:szCs w:val="24"/>
                  <w:lang w:val="vi-VN"/>
                </w:rPr>
                <w:t>09/2011/QĐ-TTg</w:t>
              </w:r>
            </w:hyperlink>
            <w:r w:rsidRPr="00385BAB">
              <w:rPr>
                <w:sz w:val="24"/>
                <w:szCs w:val="24"/>
                <w:u w:val="single"/>
                <w:lang w:val="vi-VN"/>
              </w:rPr>
              <w:t xml:space="preserve"> </w:t>
            </w:r>
            <w:r w:rsidRPr="00385BAB">
              <w:rPr>
                <w:sz w:val="24"/>
                <w:szCs w:val="24"/>
                <w:lang w:val="vi-VN"/>
              </w:rPr>
              <w:t>ngày 30 tháng 01 năm 2011 của Thủ tướng Chính phủ về việc ban hành chuẩn hộ nghèo, hộ cận nghèo áp dụng cho giai đoạn 2011-2015</w:t>
            </w:r>
            <w:r w:rsidRPr="00134FEF">
              <w:rPr>
                <w:color w:val="FF0000"/>
                <w:sz w:val="24"/>
                <w:szCs w:val="24"/>
                <w:lang w:val="vi-VN"/>
              </w:rPr>
              <w:t xml:space="preserve"> </w:t>
            </w:r>
            <w:r w:rsidRPr="007E46B7">
              <w:rPr>
                <w:sz w:val="24"/>
                <w:szCs w:val="24"/>
                <w:lang w:val="vi-VN"/>
              </w:rPr>
              <w:t>cụ thể:</w:t>
            </w:r>
          </w:p>
          <w:p w:rsidR="00E12825" w:rsidRPr="007E46B7" w:rsidRDefault="00E12825" w:rsidP="004E0A08">
            <w:pPr>
              <w:jc w:val="both"/>
              <w:rPr>
                <w:sz w:val="24"/>
                <w:szCs w:val="24"/>
                <w:lang w:val="vi-VN"/>
              </w:rPr>
            </w:pPr>
            <w:r w:rsidRPr="007E46B7">
              <w:rPr>
                <w:sz w:val="24"/>
                <w:szCs w:val="24"/>
                <w:lang w:val="vi-VN"/>
              </w:rPr>
              <w:t>1. Hộ nghèo ở nông thôn là hộ có mức thu nhập bình quân từ 400.000 đồng/người/tháng (từ 4.800.000 đồng/người/năm) trở xuống.</w:t>
            </w:r>
          </w:p>
          <w:p w:rsidR="00E12825" w:rsidRPr="007E46B7" w:rsidRDefault="00E12825" w:rsidP="004E0A08">
            <w:pPr>
              <w:jc w:val="both"/>
              <w:rPr>
                <w:sz w:val="24"/>
                <w:szCs w:val="24"/>
                <w:lang w:val="vi-VN"/>
              </w:rPr>
            </w:pPr>
            <w:r w:rsidRPr="007E46B7">
              <w:rPr>
                <w:sz w:val="24"/>
                <w:szCs w:val="24"/>
                <w:lang w:val="vi-VN"/>
              </w:rPr>
              <w:t>2. Hộ nghèo ở thành thị là hộ có mức thu nhập bình quân từ 500.000 đồng/người/tháng (từ 6.000.000 đồng/người/năm) trở xuống.</w:t>
            </w:r>
          </w:p>
          <w:p w:rsidR="00E12825" w:rsidRPr="007E46B7" w:rsidRDefault="00E12825" w:rsidP="004E0A08">
            <w:pPr>
              <w:jc w:val="both"/>
              <w:rPr>
                <w:sz w:val="24"/>
                <w:szCs w:val="24"/>
                <w:lang w:val="vi-VN"/>
              </w:rPr>
            </w:pPr>
            <w:r w:rsidRPr="007E46B7">
              <w:rPr>
                <w:sz w:val="24"/>
                <w:szCs w:val="24"/>
                <w:lang w:val="vi-VN"/>
              </w:rPr>
              <w:t>3. Hộ cận nghèo ở nông thôn là hộ có mức thu nhập bình quân từ 401.000 đồng đến 520.000 đồng/người/tháng.</w:t>
            </w:r>
          </w:p>
          <w:p w:rsidR="00E12825" w:rsidRPr="007E46B7" w:rsidRDefault="00E12825" w:rsidP="004E0A08">
            <w:pPr>
              <w:jc w:val="both"/>
              <w:rPr>
                <w:color w:val="000000"/>
                <w:sz w:val="24"/>
                <w:szCs w:val="24"/>
                <w:lang w:val="vi-VN"/>
              </w:rPr>
            </w:pPr>
            <w:r w:rsidRPr="007E46B7">
              <w:rPr>
                <w:sz w:val="24"/>
                <w:szCs w:val="24"/>
                <w:lang w:val="vi-VN"/>
              </w:rPr>
              <w:t>4. Hộ cận nghèo ở thành thị là hộ có mức thu nhập bình quân từ 501.000 đồng đến 650.000 đồng/người/tháng.</w:t>
            </w:r>
          </w:p>
        </w:tc>
      </w:tr>
      <w:tr w:rsidR="00E12825" w:rsidRPr="00134FEF" w:rsidTr="004E0A08">
        <w:tc>
          <w:tcPr>
            <w:tcW w:w="2552" w:type="dxa"/>
            <w:shd w:val="clear" w:color="auto" w:fill="auto"/>
          </w:tcPr>
          <w:p w:rsidR="00E12825" w:rsidRPr="00134FEF" w:rsidRDefault="00E12825" w:rsidP="004E0A08">
            <w:pPr>
              <w:tabs>
                <w:tab w:val="left" w:pos="132"/>
              </w:tabs>
              <w:jc w:val="both"/>
              <w:rPr>
                <w:b/>
                <w:color w:val="000000"/>
                <w:sz w:val="24"/>
                <w:szCs w:val="24"/>
              </w:rPr>
            </w:pPr>
            <w:r w:rsidRPr="00134FEF">
              <w:rPr>
                <w:b/>
                <w:color w:val="000000"/>
                <w:sz w:val="24"/>
                <w:szCs w:val="24"/>
              </w:rPr>
              <w:lastRenderedPageBreak/>
              <w:t>Căn cứ pháp lý</w:t>
            </w:r>
          </w:p>
        </w:tc>
        <w:tc>
          <w:tcPr>
            <w:tcW w:w="7087" w:type="dxa"/>
            <w:shd w:val="clear" w:color="auto" w:fill="auto"/>
          </w:tcPr>
          <w:p w:rsidR="00E12825" w:rsidRPr="00385BAB" w:rsidRDefault="00E12825" w:rsidP="004E0A08">
            <w:pPr>
              <w:tabs>
                <w:tab w:val="left" w:pos="132"/>
              </w:tabs>
              <w:jc w:val="both"/>
              <w:rPr>
                <w:i/>
                <w:sz w:val="24"/>
                <w:szCs w:val="24"/>
              </w:rPr>
            </w:pPr>
            <w:r w:rsidRPr="00385BAB">
              <w:rPr>
                <w:i/>
                <w:sz w:val="24"/>
                <w:szCs w:val="24"/>
              </w:rPr>
              <w:t xml:space="preserve">- Thông tư liên tịch số 27/2013/TTLT-BGD ĐT-BTC, ngày 16/7/2013 của </w:t>
            </w:r>
            <w:r>
              <w:rPr>
                <w:i/>
                <w:sz w:val="24"/>
                <w:szCs w:val="24"/>
              </w:rPr>
              <w:t>B</w:t>
            </w:r>
            <w:r w:rsidRPr="00385BAB">
              <w:rPr>
                <w:i/>
                <w:sz w:val="24"/>
                <w:szCs w:val="24"/>
              </w:rPr>
              <w:t>ộ Giáo dục và Đào tạo</w:t>
            </w:r>
            <w:r>
              <w:rPr>
                <w:i/>
                <w:sz w:val="24"/>
                <w:szCs w:val="24"/>
              </w:rPr>
              <w:t xml:space="preserve"> và Bộ Tài chính;</w:t>
            </w:r>
          </w:p>
          <w:p w:rsidR="00E12825" w:rsidRPr="00385BAB" w:rsidRDefault="00E12825" w:rsidP="004E0A08">
            <w:pPr>
              <w:tabs>
                <w:tab w:val="left" w:pos="132"/>
              </w:tabs>
              <w:jc w:val="both"/>
              <w:rPr>
                <w:i/>
                <w:sz w:val="24"/>
                <w:szCs w:val="24"/>
              </w:rPr>
            </w:pPr>
            <w:r w:rsidRPr="00385BAB">
              <w:rPr>
                <w:i/>
                <w:sz w:val="24"/>
                <w:szCs w:val="24"/>
              </w:rPr>
              <w:t xml:space="preserve">-  Quyết định </w:t>
            </w:r>
            <w:r>
              <w:rPr>
                <w:i/>
                <w:sz w:val="24"/>
                <w:szCs w:val="24"/>
              </w:rPr>
              <w:t>số</w:t>
            </w:r>
            <w:r w:rsidRPr="00385BAB">
              <w:rPr>
                <w:i/>
                <w:sz w:val="24"/>
                <w:szCs w:val="24"/>
              </w:rPr>
              <w:t xml:space="preserve"> 12/2013/QĐ-TTg ngày 24/01/2013 của Thủ tướng Chính phủ;</w:t>
            </w:r>
          </w:p>
          <w:p w:rsidR="00E12825" w:rsidRPr="00385BAB" w:rsidRDefault="00E12825" w:rsidP="004E0A08">
            <w:pPr>
              <w:tabs>
                <w:tab w:val="left" w:pos="132"/>
              </w:tabs>
              <w:jc w:val="both"/>
              <w:rPr>
                <w:i/>
                <w:color w:val="FF0000"/>
                <w:sz w:val="24"/>
                <w:szCs w:val="24"/>
              </w:rPr>
            </w:pPr>
            <w:r w:rsidRPr="00385BAB">
              <w:rPr>
                <w:i/>
                <w:sz w:val="24"/>
                <w:szCs w:val="24"/>
              </w:rPr>
              <w:t xml:space="preserve">- </w:t>
            </w:r>
            <w:r w:rsidRPr="00385BAB">
              <w:rPr>
                <w:i/>
                <w:sz w:val="24"/>
                <w:szCs w:val="24"/>
                <w:lang w:val="vi-VN"/>
              </w:rPr>
              <w:t xml:space="preserve">Quyết định số </w:t>
            </w:r>
            <w:hyperlink r:id="rId6" w:tgtFrame="_blank" w:history="1">
              <w:r w:rsidRPr="00385BAB">
                <w:rPr>
                  <w:i/>
                  <w:sz w:val="24"/>
                  <w:szCs w:val="24"/>
                  <w:lang w:val="vi-VN"/>
                </w:rPr>
                <w:t>09/2011/QĐ-TTg</w:t>
              </w:r>
            </w:hyperlink>
            <w:r>
              <w:rPr>
                <w:i/>
                <w:sz w:val="24"/>
                <w:szCs w:val="24"/>
              </w:rPr>
              <w:t xml:space="preserve">, </w:t>
            </w:r>
            <w:r>
              <w:rPr>
                <w:i/>
                <w:sz w:val="24"/>
                <w:szCs w:val="24"/>
                <w:lang w:val="vi-VN"/>
              </w:rPr>
              <w:t>ngày 30</w:t>
            </w:r>
            <w:r>
              <w:rPr>
                <w:i/>
                <w:sz w:val="24"/>
                <w:szCs w:val="24"/>
              </w:rPr>
              <w:t>/</w:t>
            </w:r>
            <w:r w:rsidRPr="00385BAB">
              <w:rPr>
                <w:i/>
                <w:sz w:val="24"/>
                <w:szCs w:val="24"/>
                <w:lang w:val="vi-VN"/>
              </w:rPr>
              <w:t>01</w:t>
            </w:r>
            <w:r>
              <w:rPr>
                <w:i/>
                <w:sz w:val="24"/>
                <w:szCs w:val="24"/>
              </w:rPr>
              <w:t>/</w:t>
            </w:r>
            <w:r w:rsidRPr="00385BAB">
              <w:rPr>
                <w:i/>
                <w:sz w:val="24"/>
                <w:szCs w:val="24"/>
                <w:lang w:val="vi-VN"/>
              </w:rPr>
              <w:t>2011 của Thủ tướng Chính phủ</w:t>
            </w:r>
            <w:r>
              <w:rPr>
                <w:color w:val="FF0000"/>
                <w:sz w:val="24"/>
                <w:szCs w:val="24"/>
              </w:rPr>
              <w:t>.</w:t>
            </w:r>
          </w:p>
        </w:tc>
      </w:tr>
    </w:tbl>
    <w:p w:rsidR="00E12825" w:rsidRPr="00134FEF" w:rsidRDefault="00E12825" w:rsidP="00E12825">
      <w:pPr>
        <w:rPr>
          <w:sz w:val="24"/>
          <w:szCs w:val="24"/>
        </w:rPr>
      </w:pPr>
    </w:p>
    <w:p w:rsidR="0074722A" w:rsidRDefault="00E12825" w:rsidP="00E12825">
      <w:r w:rsidRPr="00134FEF">
        <w:rPr>
          <w:b/>
          <w:color w:val="FF0000"/>
          <w:sz w:val="24"/>
          <w:szCs w:val="24"/>
        </w:rPr>
        <w:br w:type="page"/>
      </w:r>
    </w:p>
    <w:sectPr w:rsidR="00747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825"/>
    <w:rsid w:val="0074722A"/>
    <w:rsid w:val="00E12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825"/>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12825"/>
    <w:pPr>
      <w:spacing w:before="120"/>
      <w:jc w:val="both"/>
    </w:pPr>
    <w:rPr>
      <w:rFonts w:eastAsia="Batang"/>
      <w:sz w:val="22"/>
      <w:szCs w:val="22"/>
      <w:lang w:eastAsia="ko-KR"/>
    </w:rPr>
  </w:style>
  <w:style w:type="character" w:customStyle="1" w:styleId="BodyTextChar">
    <w:name w:val="Body Text Char"/>
    <w:basedOn w:val="DefaultParagraphFont"/>
    <w:link w:val="BodyText"/>
    <w:uiPriority w:val="99"/>
    <w:rsid w:val="00E12825"/>
    <w:rPr>
      <w:rFonts w:eastAsia="Batang" w:cs="Times New Roman"/>
      <w:sz w:val="22"/>
      <w:lang w:eastAsia="ko-KR"/>
    </w:rPr>
  </w:style>
  <w:style w:type="paragraph" w:styleId="NormalWeb">
    <w:name w:val="Normal (Web)"/>
    <w:basedOn w:val="Normal"/>
    <w:uiPriority w:val="99"/>
    <w:rsid w:val="00E12825"/>
    <w:pPr>
      <w:spacing w:before="100" w:beforeAutospacing="1" w:after="100" w:afterAutospacing="1"/>
    </w:pPr>
    <w:rPr>
      <w:sz w:val="24"/>
      <w:szCs w:val="24"/>
    </w:rPr>
  </w:style>
  <w:style w:type="character" w:customStyle="1" w:styleId="apple-converted-space">
    <w:name w:val="apple-converted-space"/>
    <w:basedOn w:val="DefaultParagraphFont"/>
    <w:rsid w:val="00E12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825"/>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12825"/>
    <w:pPr>
      <w:spacing w:before="120"/>
      <w:jc w:val="both"/>
    </w:pPr>
    <w:rPr>
      <w:rFonts w:eastAsia="Batang"/>
      <w:sz w:val="22"/>
      <w:szCs w:val="22"/>
      <w:lang w:eastAsia="ko-KR"/>
    </w:rPr>
  </w:style>
  <w:style w:type="character" w:customStyle="1" w:styleId="BodyTextChar">
    <w:name w:val="Body Text Char"/>
    <w:basedOn w:val="DefaultParagraphFont"/>
    <w:link w:val="BodyText"/>
    <w:uiPriority w:val="99"/>
    <w:rsid w:val="00E12825"/>
    <w:rPr>
      <w:rFonts w:eastAsia="Batang" w:cs="Times New Roman"/>
      <w:sz w:val="22"/>
      <w:lang w:eastAsia="ko-KR"/>
    </w:rPr>
  </w:style>
  <w:style w:type="paragraph" w:styleId="NormalWeb">
    <w:name w:val="Normal (Web)"/>
    <w:basedOn w:val="Normal"/>
    <w:uiPriority w:val="99"/>
    <w:rsid w:val="00E12825"/>
    <w:pPr>
      <w:spacing w:before="100" w:beforeAutospacing="1" w:after="100" w:afterAutospacing="1"/>
    </w:pPr>
    <w:rPr>
      <w:sz w:val="24"/>
      <w:szCs w:val="24"/>
    </w:rPr>
  </w:style>
  <w:style w:type="character" w:customStyle="1" w:styleId="apple-converted-space">
    <w:name w:val="apple-converted-space"/>
    <w:basedOn w:val="DefaultParagraphFont"/>
    <w:rsid w:val="00E12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uvienphapluat.vn/phap-luat/tim-van-ban.aspx?keyword=09/2011/Q%C4%90-TTg&amp;area=2&amp;type=0&amp;match=False&amp;vc=True&amp;lan=1" TargetMode="External"/><Relationship Id="rId5" Type="http://schemas.openxmlformats.org/officeDocument/2006/relationships/hyperlink" Target="http://thuvienphapluat.vn/phap-luat/tim-van-ban.aspx?keyword=09/2011/Q%C4%90-TTg&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VNN.R9</cp:lastModifiedBy>
  <cp:revision>1</cp:revision>
  <dcterms:created xsi:type="dcterms:W3CDTF">2018-12-03T02:38:00Z</dcterms:created>
  <dcterms:modified xsi:type="dcterms:W3CDTF">2018-12-03T02:38:00Z</dcterms:modified>
</cp:coreProperties>
</file>