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CA" w:rsidRDefault="00C152CA" w:rsidP="00C152CA">
      <w:pPr>
        <w:spacing w:after="120"/>
        <w:ind w:firstLine="709"/>
        <w:jc w:val="both"/>
        <w:rPr>
          <w:b/>
          <w:i/>
          <w:sz w:val="26"/>
          <w:szCs w:val="24"/>
        </w:rPr>
      </w:pPr>
      <w:r w:rsidRPr="00B0410E">
        <w:rPr>
          <w:b/>
          <w:sz w:val="26"/>
          <w:szCs w:val="24"/>
        </w:rPr>
        <w:t>Thủ tục:</w:t>
      </w:r>
      <w:r w:rsidRPr="00B653EB">
        <w:rPr>
          <w:b/>
          <w:sz w:val="26"/>
          <w:szCs w:val="24"/>
        </w:rPr>
        <w:t xml:space="preserve"> </w:t>
      </w:r>
      <w:r w:rsidRPr="00B653EB">
        <w:rPr>
          <w:b/>
          <w:i/>
          <w:sz w:val="26"/>
          <w:szCs w:val="24"/>
        </w:rPr>
        <w:t>Cấp giấy phép, gia hạn giấy phép tổ chức hoạt động dạy thêm, học thêm đối với cấp trung học phổ thông.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0"/>
      </w:tblGrid>
      <w:tr w:rsidR="00C152CA" w:rsidRPr="007E46B7"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Trình tự thực hiện</w:t>
            </w:r>
          </w:p>
        </w:tc>
        <w:tc>
          <w:tcPr>
            <w:tcW w:w="7200" w:type="dxa"/>
            <w:shd w:val="clear" w:color="auto" w:fill="auto"/>
          </w:tcPr>
          <w:p w:rsidR="00C152CA" w:rsidRPr="00C3103C" w:rsidRDefault="00C152CA" w:rsidP="005B79A5">
            <w:pPr>
              <w:widowControl w:val="0"/>
              <w:jc w:val="both"/>
              <w:rPr>
                <w:color w:val="000000"/>
                <w:sz w:val="24"/>
                <w:szCs w:val="24"/>
              </w:rPr>
            </w:pPr>
            <w:r w:rsidRPr="00C3103C">
              <w:rPr>
                <w:b/>
                <w:bCs/>
                <w:iCs/>
                <w:color w:val="000000"/>
                <w:sz w:val="24"/>
                <w:szCs w:val="24"/>
                <w:u w:val="single"/>
              </w:rPr>
              <w:t>Bước 1</w:t>
            </w:r>
            <w:r w:rsidRPr="00C3103C">
              <w:rPr>
                <w:b/>
                <w:bCs/>
                <w:color w:val="000000"/>
                <w:sz w:val="24"/>
                <w:szCs w:val="24"/>
                <w:u w:val="single"/>
              </w:rPr>
              <w:t>:</w:t>
            </w:r>
            <w:r w:rsidRPr="00C3103C">
              <w:rPr>
                <w:color w:val="000000"/>
                <w:sz w:val="24"/>
                <w:szCs w:val="24"/>
              </w:rPr>
              <w:t xml:space="preserve"> </w:t>
            </w:r>
            <w:r w:rsidRPr="00C3103C">
              <w:rPr>
                <w:bCs/>
                <w:color w:val="000000"/>
                <w:sz w:val="24"/>
                <w:szCs w:val="24"/>
              </w:rPr>
              <w:t xml:space="preserve">Tổ chức, cá nhân xin cấp giấy phép tổ chức hoạt động dạy thêm, học thêm lập hồ sơ cấp giấy phép tổ chức hoạt động dạy thêm, học thêm theo quy định và nộp hồ sơ </w:t>
            </w:r>
            <w:r w:rsidRPr="00C3103C">
              <w:rPr>
                <w:color w:val="000000"/>
                <w:sz w:val="24"/>
                <w:szCs w:val="24"/>
              </w:rPr>
              <w:t>tại Bộ phận “Một cửa” của Sở Giáo dục và Đào tạo.</w:t>
            </w:r>
          </w:p>
          <w:p w:rsidR="00C152CA" w:rsidRPr="00C3103C" w:rsidRDefault="00C152CA" w:rsidP="005B79A5">
            <w:pPr>
              <w:pStyle w:val="BodyText"/>
              <w:widowControl w:val="0"/>
              <w:tabs>
                <w:tab w:val="left" w:pos="132"/>
              </w:tabs>
              <w:spacing w:before="0"/>
              <w:rPr>
                <w:sz w:val="24"/>
                <w:szCs w:val="24"/>
                <w:lang w:val="en-US"/>
              </w:rPr>
            </w:pPr>
            <w:r w:rsidRPr="00C3103C">
              <w:rPr>
                <w:sz w:val="24"/>
                <w:szCs w:val="24"/>
                <w:lang w:val="en-US"/>
              </w:rPr>
              <w:t>-</w:t>
            </w:r>
            <w:r w:rsidRPr="00C3103C">
              <w:rPr>
                <w:sz w:val="24"/>
                <w:szCs w:val="24"/>
                <w:lang w:val="vi-VN"/>
              </w:rPr>
              <w:t xml:space="preserve"> </w:t>
            </w:r>
            <w:r w:rsidRPr="00C3103C">
              <w:rPr>
                <w:sz w:val="24"/>
                <w:szCs w:val="24"/>
                <w:lang w:val="en-US"/>
              </w:rPr>
              <w:t>Địa chỉ: 22 Nguyễn Thái Học, thành phố Kon Tum, tỉnh Kon Tum.</w:t>
            </w:r>
          </w:p>
          <w:p w:rsidR="00C152CA" w:rsidRPr="00C3103C" w:rsidRDefault="00C152CA" w:rsidP="005B79A5">
            <w:pPr>
              <w:pStyle w:val="BodyText"/>
              <w:widowControl w:val="0"/>
              <w:tabs>
                <w:tab w:val="left" w:pos="132"/>
              </w:tabs>
              <w:spacing w:before="0"/>
              <w:rPr>
                <w:color w:val="000000"/>
                <w:sz w:val="24"/>
                <w:szCs w:val="24"/>
                <w:lang w:val="vi-VN"/>
              </w:rPr>
            </w:pPr>
            <w:r w:rsidRPr="00C3103C">
              <w:rPr>
                <w:color w:val="000000"/>
                <w:sz w:val="24"/>
                <w:szCs w:val="24"/>
                <w:lang w:val="en-US"/>
              </w:rPr>
              <w:t xml:space="preserve">- </w:t>
            </w:r>
            <w:r w:rsidRPr="00C3103C">
              <w:rPr>
                <w:color w:val="000000"/>
                <w:sz w:val="24"/>
                <w:szCs w:val="24"/>
                <w:lang w:val="vi-VN"/>
              </w:rPr>
              <w:t>Thời gian: Buổi sáng từ 7h00 - 11h00 và buổi chiều từ 13h00 - 17h00 các ngày từ thứ 2 đến thứ 6 hàng tuần (trừ các ngày nghỉ lễ).</w:t>
            </w:r>
          </w:p>
          <w:p w:rsidR="00C152CA" w:rsidRPr="00C3103C" w:rsidRDefault="00C152CA" w:rsidP="005B79A5">
            <w:pPr>
              <w:pStyle w:val="NormalWeb"/>
              <w:widowControl w:val="0"/>
              <w:spacing w:before="0" w:beforeAutospacing="0" w:after="0" w:afterAutospacing="0"/>
              <w:jc w:val="both"/>
              <w:rPr>
                <w:color w:val="000000"/>
                <w:lang w:val="vi-VN"/>
              </w:rPr>
            </w:pPr>
            <w:r w:rsidRPr="00C3103C">
              <w:rPr>
                <w:rStyle w:val="Strong"/>
                <w:color w:val="000000"/>
                <w:u w:val="single"/>
                <w:lang w:val="vi-VN"/>
              </w:rPr>
              <w:t>Bước 2</w:t>
            </w:r>
            <w:r w:rsidRPr="00C3103C">
              <w:rPr>
                <w:color w:val="000000"/>
                <w:u w:val="single"/>
                <w:lang w:val="vi-VN"/>
              </w:rPr>
              <w:t>:</w:t>
            </w:r>
            <w:r w:rsidRPr="00C3103C">
              <w:rPr>
                <w:color w:val="000000"/>
                <w:lang w:val="vi-VN"/>
              </w:rPr>
              <w:t xml:space="preserve"> Sở Giáo dục và Đào tạo thẩm định hồ sơ, kiểm tra địa điểm, cơ sở vật chất tổ chức hoạt động dạy thêm, học thêm. Nếu đủ điều kiện thì ra quyết định cấp phép, nếu không đủ điều kiện thì trả lời bằng văn bản cho tổ chức, cá nhân nộp hồ sơ.</w:t>
            </w:r>
          </w:p>
          <w:p w:rsidR="00C152CA" w:rsidRPr="00665FD6" w:rsidRDefault="00C152CA" w:rsidP="005B79A5">
            <w:pPr>
              <w:widowControl w:val="0"/>
              <w:jc w:val="both"/>
              <w:rPr>
                <w:color w:val="000000"/>
                <w:sz w:val="24"/>
                <w:szCs w:val="24"/>
                <w:lang w:val="vi-VN"/>
              </w:rPr>
            </w:pPr>
            <w:r w:rsidRPr="00C3103C">
              <w:rPr>
                <w:b/>
                <w:bCs/>
                <w:iCs/>
                <w:color w:val="000000"/>
                <w:sz w:val="24"/>
                <w:szCs w:val="24"/>
                <w:u w:val="single"/>
                <w:lang w:val="vi-VN"/>
              </w:rPr>
              <w:t>Bước 3</w:t>
            </w:r>
            <w:r w:rsidRPr="00C3103C">
              <w:rPr>
                <w:b/>
                <w:bCs/>
                <w:color w:val="000000"/>
                <w:sz w:val="24"/>
                <w:szCs w:val="24"/>
                <w:u w:val="single"/>
                <w:lang w:val="vi-VN"/>
              </w:rPr>
              <w:t>:</w:t>
            </w:r>
            <w:r w:rsidRPr="00C3103C">
              <w:rPr>
                <w:color w:val="000000"/>
                <w:sz w:val="24"/>
                <w:szCs w:val="24"/>
                <w:lang w:val="vi-VN"/>
              </w:rPr>
              <w:t xml:space="preserve"> Trả kết quả tại Bộ phận “Một cửa” của Sở Giáo dục và Đào tạo</w:t>
            </w:r>
          </w:p>
          <w:p w:rsidR="00C152CA" w:rsidRPr="00C3103C" w:rsidRDefault="00C152CA" w:rsidP="005B79A5">
            <w:pPr>
              <w:widowControl w:val="0"/>
              <w:jc w:val="both"/>
              <w:rPr>
                <w:sz w:val="24"/>
                <w:szCs w:val="24"/>
                <w:lang w:val="vi-VN"/>
              </w:rPr>
            </w:pPr>
            <w:r w:rsidRPr="00C3103C">
              <w:rPr>
                <w:color w:val="000000"/>
                <w:sz w:val="24"/>
                <w:szCs w:val="24"/>
              </w:rPr>
              <w:t xml:space="preserve">- </w:t>
            </w:r>
            <w:r w:rsidRPr="00C3103C">
              <w:rPr>
                <w:color w:val="000000"/>
                <w:sz w:val="24"/>
                <w:szCs w:val="24"/>
                <w:lang w:val="vi-VN"/>
              </w:rPr>
              <w:t>Thời gian: Buổi sáng từ 7h00 - 11h00 và buổi chiều từ 13h00 - 17h00 các ngày từ thứ 2 đến thứ 6 hàng tuần (trừ các ngày nghỉ lễ).</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Cách thức thực hiện</w:t>
            </w:r>
          </w:p>
        </w:tc>
        <w:tc>
          <w:tcPr>
            <w:tcW w:w="7200" w:type="dxa"/>
            <w:shd w:val="clear" w:color="auto" w:fill="auto"/>
          </w:tcPr>
          <w:p w:rsidR="00C152CA" w:rsidRPr="00C3103C" w:rsidRDefault="00C152CA" w:rsidP="005B79A5">
            <w:pPr>
              <w:widowControl w:val="0"/>
              <w:jc w:val="both"/>
              <w:rPr>
                <w:color w:val="000000"/>
                <w:sz w:val="24"/>
                <w:szCs w:val="24"/>
              </w:rPr>
            </w:pPr>
            <w:r w:rsidRPr="00C3103C">
              <w:rPr>
                <w:color w:val="000000"/>
                <w:sz w:val="24"/>
                <w:szCs w:val="24"/>
              </w:rPr>
              <w:t>Trực tiếp tại trụ sở cơ quan hành chính hoặc qua đường bưu điện</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Thành phần, số lượng hồ sơ</w:t>
            </w:r>
          </w:p>
        </w:tc>
        <w:tc>
          <w:tcPr>
            <w:tcW w:w="7200" w:type="dxa"/>
            <w:shd w:val="clear" w:color="auto" w:fill="auto"/>
          </w:tcPr>
          <w:p w:rsidR="00C152CA" w:rsidRPr="00C3103C" w:rsidRDefault="00C152CA" w:rsidP="005B79A5">
            <w:pPr>
              <w:widowControl w:val="0"/>
              <w:tabs>
                <w:tab w:val="left" w:pos="4320"/>
              </w:tabs>
              <w:jc w:val="both"/>
              <w:rPr>
                <w:color w:val="000000"/>
                <w:sz w:val="24"/>
                <w:szCs w:val="24"/>
              </w:rPr>
            </w:pPr>
            <w:r>
              <w:rPr>
                <w:color w:val="000000"/>
                <w:sz w:val="24"/>
                <w:szCs w:val="24"/>
              </w:rPr>
              <w:t>a</w:t>
            </w:r>
            <w:r w:rsidRPr="00C3103C">
              <w:rPr>
                <w:color w:val="000000"/>
                <w:sz w:val="24"/>
                <w:szCs w:val="24"/>
              </w:rPr>
              <w:t>) Thành phần hồ sơ bao gồm:</w:t>
            </w:r>
          </w:p>
          <w:p w:rsidR="00C152CA" w:rsidRPr="00C3103C" w:rsidRDefault="00C152CA" w:rsidP="005B79A5">
            <w:pPr>
              <w:pStyle w:val="NormalWeb"/>
              <w:widowControl w:val="0"/>
              <w:spacing w:before="0" w:beforeAutospacing="0" w:after="0" w:afterAutospacing="0"/>
              <w:jc w:val="both"/>
              <w:rPr>
                <w:i/>
                <w:color w:val="000000"/>
              </w:rPr>
            </w:pPr>
            <w:r w:rsidRPr="00C3103C">
              <w:rPr>
                <w:rStyle w:val="Strong"/>
                <w:i/>
                <w:color w:val="000000"/>
              </w:rPr>
              <w:t>* Đối với dạy thêm, học thêm trong nhà trường</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Tờ trình xin cấp giấy phép tổ chức hoạt động dạy thêm, học thêm;</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Danh sách trích ngang người đăng ký dạy thêm đảm bảo các yêu cầu tại điều 8, </w:t>
            </w:r>
            <w:r w:rsidRPr="00C3103C">
              <w:t>Thông tư số 17/2012/TT-BGDĐT ngày 16 tháng 5 năm 2012 của Bộ Giáo dục và Đào tạo ban hành quy định về dạy thêm, học thêm quy định</w:t>
            </w:r>
            <w:r w:rsidRPr="00C3103C">
              <w:rPr>
                <w:color w:val="000000"/>
              </w:rPr>
              <w:t xml:space="preserve">, cụ thể: </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Đạt trình độ chuẩn được đào tạo đối với từng cấp học theo quy định của Luật Giáo dục.</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Có đủ sức khoẻ.</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Có phẩm chất đạo đức tốt, thực hiện đầy đủ nghĩa vụ công dân và các quy định của pháp luật; hoàn thành các nhiệm vụ được giao tại cơ quan công tác.</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Được thủ trưởng cơ quan quản lý hoặc Chủ tịch Ủy ban nhân dân cấp xã xác nhận các nội dung quy định tại khoản 3, khoản 4 điều này (đối với người dạy thêm ngoài nhà trường); được thủ trưởng cơ quan quản lý cho phép theo quy định tại điểm b, khoản 4, điều 4 quy định này (đối với giáo viên đang hưởng lương từ quỹ lương của đơn vị sự nghiệp công lập).</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Pr>
                <w:color w:val="000000"/>
              </w:rPr>
              <w:t>+</w:t>
            </w:r>
            <w:r w:rsidRPr="00C3103C">
              <w:rPr>
                <w:color w:val="000000"/>
              </w:rPr>
              <w:t xml:space="preserve">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C152CA" w:rsidRPr="00C3103C" w:rsidRDefault="00C152CA" w:rsidP="005B79A5">
            <w:pPr>
              <w:pStyle w:val="NormalWeb"/>
              <w:widowControl w:val="0"/>
              <w:spacing w:before="0" w:beforeAutospacing="0" w:after="0" w:afterAutospacing="0"/>
              <w:jc w:val="both"/>
              <w:rPr>
                <w:i/>
                <w:color w:val="000000"/>
              </w:rPr>
            </w:pPr>
            <w:r w:rsidRPr="00C3103C">
              <w:rPr>
                <w:rStyle w:val="Strong"/>
                <w:i/>
                <w:color w:val="000000"/>
              </w:rPr>
              <w:t>* Đối với dạy thêm, học thêm ngoài nhà trường:</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xml:space="preserve">- Đơn xin cấp giấy phép tổ chức hoạt động dạy thêm, trong đó cam kết </w:t>
            </w:r>
            <w:r w:rsidRPr="00C3103C">
              <w:rPr>
                <w:color w:val="000000"/>
              </w:rPr>
              <w:lastRenderedPageBreak/>
              <w:t xml:space="preserve">với Uỷ ban nhân dân cấp xã </w:t>
            </w:r>
            <w:r w:rsidRPr="00C3103C">
              <w:t>về thực hiện các quy định tại Khoản 1, Điều 6 Thông tư số 17/2012/TT-BGDĐT ngày 16 tháng 5 năm 2012 của Bộ Giáo dục và Đào tạo ban hành quy định về dạy thêm, học thêm</w:t>
            </w:r>
            <w:r w:rsidRPr="00C3103C">
              <w:rPr>
                <w:color w:val="FF0000"/>
              </w:rPr>
              <w:t xml:space="preserve"> </w:t>
            </w:r>
            <w:r w:rsidRPr="00C3103C">
              <w:rPr>
                <w:color w:val="000000"/>
                <w:shd w:val="clear" w:color="auto" w:fill="FFFFFF"/>
              </w:rPr>
              <w:t>(Cam kết với Uỷ ban nhân dân xã, phường, thị trấn (gọi chung là Uỷ ban nhân dân cấp xã) nơi đặt điểm dạy thêm, học thêm thực hiện các quy định về dạy thêm, học thêm ngoài nhà trường và trách nhiệm giữ gìn trật tự, an ninh, đảm bảo vệ sinh môi trường nơi tổ chức dạy thêm, học thêm).</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Danh sách trích ngang người tổ chức hoạt động dạy thêm, học thêm và người đăng ký dạy thêm;</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 xml:space="preserve">- Đơn xin dạy thêm có dán ảnh của người đăng ký dạy thêm và có xác nhận </w:t>
            </w:r>
            <w:r w:rsidRPr="00C3103C">
              <w:t>theo quy định tại Khoản 5, Điều 8 Thông tư số 17/2012/TT-BGDĐT ngày 16 tháng 5 năm 2012 của Bộ Giáo dục và Đào tạo ban hành quy định về dạy thêm, học thêm (</w:t>
            </w:r>
            <w:r w:rsidRPr="00C3103C">
              <w:rPr>
                <w:shd w:val="clear" w:color="auto" w:fill="FFFFFF"/>
              </w:rPr>
              <w:t xml:space="preserve">Được thủ trưởng cơ quan quản lý hoặc Chủ tịch Ủy ban nhân dân cấp xã xác nhận các nội dung quy định tại khoản 3, khoản 4 điều này: </w:t>
            </w:r>
            <w:r w:rsidRPr="00C3103C">
              <w:rPr>
                <w:color w:val="000000"/>
              </w:rPr>
              <w:t>Có phẩm chất đạo đức tốt, thực hiện đầy đủ nghĩa vụ công dân và các quy định của pháp luật; hoàn thành các nhiệm vụ được giao tại cơ quan công tác;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r w:rsidRPr="00C3103C">
              <w:rPr>
                <w:shd w:val="clear" w:color="auto" w:fill="FFFFFF"/>
              </w:rPr>
              <w:t xml:space="preserve"> (đối với người dạy thêm ngoài nhà trường); được thủ trưởng cơ quan quản lý cho phép theo quy định tại điểm b, khoản 4, điều 4 quy định: </w:t>
            </w:r>
            <w:r w:rsidRPr="00C3103C">
              <w:rPr>
                <w:color w:val="000000"/>
                <w:shd w:val="clear" w:color="auto" w:fill="FFFFFF"/>
              </w:rPr>
              <w:t xml:space="preserve">Không được dạy thêm ngoài nhà trường đối với học sinh mà giáo viên đang dạy chính khóa khi chưa được sự cho phép của Thủ trưởng cơ quan quản lý giáo viên đó </w:t>
            </w:r>
            <w:r w:rsidRPr="00C3103C">
              <w:rPr>
                <w:shd w:val="clear" w:color="auto" w:fill="FFFFFF"/>
              </w:rPr>
              <w:t>(đối với giáo viên đang hưởng lương từ quỹ lương của đơn vị sự nghiệp công lập).</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Bản sao hợp lệ giấy tờ xác định trình độ đào tạo về chuyên môn, nghiệp vụ sư phạm của người tổ chức hoạt động dạy thêm, học thêm và người đăng ký dạy thêm;</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Giấy khám sức khoẻ do bệnh viện đa khoa cấp huyện trở lên hoặc Hội đồng giám định y khoa cấp cho người tổ chức dạy thêm, học thêm và người đăng ký dạy thêm;</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 thêm.</w:t>
            </w:r>
          </w:p>
          <w:p w:rsidR="00C152CA" w:rsidRPr="00C3103C" w:rsidRDefault="00C152CA" w:rsidP="005B79A5">
            <w:pPr>
              <w:widowControl w:val="0"/>
              <w:jc w:val="both"/>
              <w:rPr>
                <w:sz w:val="24"/>
                <w:szCs w:val="24"/>
                <w:lang w:val="pt-BR"/>
              </w:rPr>
            </w:pPr>
            <w:r w:rsidRPr="00C3103C">
              <w:rPr>
                <w:color w:val="000000"/>
                <w:sz w:val="24"/>
                <w:szCs w:val="24"/>
              </w:rPr>
              <w:t xml:space="preserve">b) Số lượng hồ sơ: </w:t>
            </w:r>
            <w:r w:rsidRPr="00C3103C">
              <w:rPr>
                <w:bCs/>
                <w:color w:val="000000"/>
                <w:sz w:val="24"/>
                <w:szCs w:val="24"/>
              </w:rPr>
              <w:t>01</w:t>
            </w:r>
            <w:r w:rsidRPr="00C3103C">
              <w:rPr>
                <w:color w:val="000000"/>
                <w:sz w:val="24"/>
                <w:szCs w:val="24"/>
              </w:rPr>
              <w:t xml:space="preserve"> bộ</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lastRenderedPageBreak/>
              <w:t>Thời gian giải quyết</w:t>
            </w:r>
          </w:p>
        </w:tc>
        <w:tc>
          <w:tcPr>
            <w:tcW w:w="7200" w:type="dxa"/>
            <w:shd w:val="clear" w:color="auto" w:fill="auto"/>
          </w:tcPr>
          <w:p w:rsidR="00C152CA" w:rsidRPr="00C3103C" w:rsidRDefault="00C152CA" w:rsidP="005B79A5">
            <w:pPr>
              <w:widowControl w:val="0"/>
              <w:jc w:val="both"/>
              <w:rPr>
                <w:color w:val="000000"/>
                <w:sz w:val="24"/>
                <w:szCs w:val="24"/>
              </w:rPr>
            </w:pPr>
            <w:r w:rsidRPr="00C3103C">
              <w:rPr>
                <w:color w:val="000000"/>
                <w:sz w:val="24"/>
                <w:szCs w:val="24"/>
              </w:rPr>
              <w:t>15 ngày làm việc sau khi nhận đủ hồ sơ hợp lệ.</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Cơ quan thực hiện</w:t>
            </w:r>
          </w:p>
        </w:tc>
        <w:tc>
          <w:tcPr>
            <w:tcW w:w="7200" w:type="dxa"/>
            <w:shd w:val="clear" w:color="auto" w:fill="auto"/>
          </w:tcPr>
          <w:p w:rsidR="00C152CA" w:rsidRPr="00C3103C" w:rsidRDefault="00C152CA" w:rsidP="005B79A5">
            <w:pPr>
              <w:widowControl w:val="0"/>
              <w:jc w:val="both"/>
              <w:rPr>
                <w:color w:val="000000"/>
                <w:sz w:val="24"/>
                <w:szCs w:val="24"/>
              </w:rPr>
            </w:pPr>
            <w:r w:rsidRPr="00C3103C">
              <w:rPr>
                <w:color w:val="000000"/>
                <w:sz w:val="24"/>
                <w:szCs w:val="24"/>
              </w:rPr>
              <w:t>- Cơ quan có thẩm quyền quyết định: UBND tỉnh.</w:t>
            </w:r>
          </w:p>
          <w:p w:rsidR="00C152CA" w:rsidRPr="00C3103C" w:rsidRDefault="00C152CA" w:rsidP="005B79A5">
            <w:pPr>
              <w:widowControl w:val="0"/>
              <w:jc w:val="both"/>
              <w:rPr>
                <w:color w:val="000000"/>
                <w:sz w:val="24"/>
                <w:szCs w:val="24"/>
              </w:rPr>
            </w:pPr>
            <w:r w:rsidRPr="00C3103C">
              <w:rPr>
                <w:color w:val="000000"/>
                <w:sz w:val="24"/>
                <w:szCs w:val="24"/>
              </w:rPr>
              <w:t>- Cơ quan phân cấp thực hiện TTHC: Sở Giáo dục và Đào tạo.</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Đối tượng thực hiện</w:t>
            </w:r>
          </w:p>
        </w:tc>
        <w:tc>
          <w:tcPr>
            <w:tcW w:w="7200" w:type="dxa"/>
            <w:shd w:val="clear" w:color="auto" w:fill="auto"/>
          </w:tcPr>
          <w:p w:rsidR="00C152CA" w:rsidRPr="00C3103C" w:rsidRDefault="00C152CA" w:rsidP="005B79A5">
            <w:pPr>
              <w:widowControl w:val="0"/>
              <w:jc w:val="both"/>
              <w:rPr>
                <w:color w:val="000000"/>
                <w:sz w:val="24"/>
                <w:szCs w:val="24"/>
              </w:rPr>
            </w:pPr>
            <w:r w:rsidRPr="00C3103C">
              <w:rPr>
                <w:color w:val="000000"/>
                <w:sz w:val="24"/>
                <w:szCs w:val="24"/>
              </w:rPr>
              <w:t>Tổ chức hoặc cá nhân.</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Kết quả</w:t>
            </w:r>
          </w:p>
        </w:tc>
        <w:tc>
          <w:tcPr>
            <w:tcW w:w="7200" w:type="dxa"/>
            <w:shd w:val="clear" w:color="auto" w:fill="auto"/>
          </w:tcPr>
          <w:p w:rsidR="00C152CA" w:rsidRPr="00C3103C" w:rsidRDefault="00C152CA" w:rsidP="005B79A5">
            <w:pPr>
              <w:pStyle w:val="sonvb"/>
              <w:widowControl w:val="0"/>
              <w:spacing w:after="0" w:line="240" w:lineRule="auto"/>
              <w:ind w:firstLine="0"/>
              <w:rPr>
                <w:color w:val="000000"/>
                <w:sz w:val="24"/>
                <w:szCs w:val="24"/>
                <w:lang w:val="en-US"/>
              </w:rPr>
            </w:pPr>
            <w:r w:rsidRPr="00C3103C">
              <w:rPr>
                <w:color w:val="000000"/>
                <w:sz w:val="24"/>
                <w:szCs w:val="24"/>
                <w:lang w:val="en-US"/>
              </w:rPr>
              <w:t>Quyết định hành chính.</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Lệ phí</w:t>
            </w:r>
          </w:p>
        </w:tc>
        <w:tc>
          <w:tcPr>
            <w:tcW w:w="7200" w:type="dxa"/>
            <w:shd w:val="clear" w:color="auto" w:fill="auto"/>
          </w:tcPr>
          <w:p w:rsidR="00C152CA" w:rsidRPr="00C3103C" w:rsidRDefault="00C152CA" w:rsidP="005B79A5">
            <w:pPr>
              <w:widowControl w:val="0"/>
              <w:jc w:val="both"/>
              <w:rPr>
                <w:color w:val="000000"/>
                <w:sz w:val="24"/>
                <w:szCs w:val="24"/>
              </w:rPr>
            </w:pPr>
            <w:r w:rsidRPr="00C3103C">
              <w:rPr>
                <w:color w:val="000000"/>
                <w:sz w:val="24"/>
                <w:szCs w:val="24"/>
              </w:rPr>
              <w:t>Không</w:t>
            </w:r>
          </w:p>
        </w:tc>
      </w:tr>
      <w:tr w:rsidR="00C152CA" w:rsidRPr="00134FEF" w:rsidTr="005B79A5">
        <w:tc>
          <w:tcPr>
            <w:tcW w:w="2520" w:type="dxa"/>
            <w:tcBorders>
              <w:bottom w:val="single" w:sz="4" w:space="0" w:color="auto"/>
            </w:tcBorders>
            <w:shd w:val="clear" w:color="auto" w:fill="auto"/>
          </w:tcPr>
          <w:p w:rsidR="00C152CA" w:rsidRPr="00134FEF" w:rsidRDefault="00C152CA" w:rsidP="005B79A5">
            <w:pPr>
              <w:tabs>
                <w:tab w:val="left" w:pos="132"/>
              </w:tabs>
              <w:jc w:val="both"/>
              <w:rPr>
                <w:b/>
                <w:sz w:val="24"/>
                <w:szCs w:val="24"/>
              </w:rPr>
            </w:pPr>
            <w:r w:rsidRPr="00134FEF">
              <w:rPr>
                <w:b/>
                <w:sz w:val="24"/>
                <w:szCs w:val="24"/>
              </w:rPr>
              <w:t xml:space="preserve">Tên mẫu đơn, tờ khai </w:t>
            </w:r>
          </w:p>
        </w:tc>
        <w:tc>
          <w:tcPr>
            <w:tcW w:w="7200" w:type="dxa"/>
            <w:tcBorders>
              <w:bottom w:val="single" w:sz="4" w:space="0" w:color="auto"/>
            </w:tcBorders>
            <w:shd w:val="clear" w:color="auto" w:fill="auto"/>
          </w:tcPr>
          <w:p w:rsidR="00C152CA" w:rsidRPr="00C3103C" w:rsidRDefault="00C152CA" w:rsidP="005B79A5">
            <w:pPr>
              <w:widowControl w:val="0"/>
              <w:jc w:val="both"/>
              <w:rPr>
                <w:color w:val="000000"/>
                <w:sz w:val="24"/>
                <w:szCs w:val="24"/>
              </w:rPr>
            </w:pPr>
            <w:r w:rsidRPr="00C3103C">
              <w:rPr>
                <w:color w:val="000000"/>
                <w:sz w:val="24"/>
                <w:szCs w:val="24"/>
              </w:rPr>
              <w:t>Không</w:t>
            </w: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t xml:space="preserve">Yêu cầu, điều kiện </w:t>
            </w:r>
          </w:p>
        </w:tc>
        <w:tc>
          <w:tcPr>
            <w:tcW w:w="7200" w:type="dxa"/>
            <w:shd w:val="clear" w:color="auto" w:fill="auto"/>
          </w:tcPr>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xml:space="preserve">Trước khi hết hạn 01 tháng phải tiến hành thủ tục gia hạn (nếu có nhu </w:t>
            </w:r>
            <w:r w:rsidRPr="00C3103C">
              <w:rPr>
                <w:color w:val="000000"/>
              </w:rPr>
              <w:lastRenderedPageBreak/>
              <w:t>cầu).</w:t>
            </w:r>
          </w:p>
          <w:p w:rsidR="00C152CA" w:rsidRPr="00C3103C" w:rsidRDefault="00C152CA" w:rsidP="005B79A5">
            <w:pPr>
              <w:pStyle w:val="NormalWeb"/>
              <w:widowControl w:val="0"/>
              <w:spacing w:before="0" w:beforeAutospacing="0" w:after="0" w:afterAutospacing="0"/>
              <w:jc w:val="both"/>
              <w:rPr>
                <w:color w:val="000000"/>
              </w:rPr>
            </w:pPr>
            <w:r w:rsidRPr="00C3103C">
              <w:rPr>
                <w:rStyle w:val="Strong"/>
                <w:b w:val="0"/>
                <w:color w:val="000000"/>
              </w:rPr>
              <w:t>* Yêu cầu đối với người dạy thêm</w:t>
            </w:r>
            <w:r w:rsidRPr="00C3103C">
              <w:rPr>
                <w:color w:val="000000"/>
              </w:rPr>
              <w:t>:</w:t>
            </w:r>
          </w:p>
          <w:p w:rsidR="00C152CA" w:rsidRPr="00C3103C" w:rsidRDefault="00C152CA" w:rsidP="005B79A5">
            <w:pPr>
              <w:pStyle w:val="NormalWeb"/>
              <w:widowControl w:val="0"/>
              <w:spacing w:before="0" w:beforeAutospacing="0" w:after="0" w:afterAutospacing="0"/>
              <w:jc w:val="both"/>
              <w:textAlignment w:val="baseline"/>
            </w:pPr>
            <w:r w:rsidRPr="00C3103C">
              <w:rPr>
                <w:color w:val="000000"/>
              </w:rPr>
              <w:t xml:space="preserve">1. Đạt trình độ chuẩn được đào tạo đối với từng cấp học theo quy định của </w:t>
            </w:r>
            <w:r w:rsidRPr="00C3103C">
              <w:t xml:space="preserve">Luật giáo dục: </w:t>
            </w:r>
          </w:p>
          <w:p w:rsidR="00C152CA" w:rsidRPr="00C3103C" w:rsidRDefault="00C152CA" w:rsidP="005B79A5">
            <w:pPr>
              <w:pStyle w:val="NormalWeb"/>
              <w:widowControl w:val="0"/>
              <w:spacing w:before="0" w:beforeAutospacing="0" w:after="0" w:afterAutospacing="0"/>
              <w:jc w:val="both"/>
              <w:textAlignment w:val="baseline"/>
            </w:pPr>
            <w:r w:rsidRPr="00C3103C">
              <w:t>a) Có bằng tốt nghiệp trung cấp sư phạm đối với giáo viên mầm non, giáo viên tiểu học;</w:t>
            </w:r>
          </w:p>
          <w:p w:rsidR="00C152CA" w:rsidRPr="00C3103C" w:rsidRDefault="00C152CA" w:rsidP="005B79A5">
            <w:pPr>
              <w:pStyle w:val="NormalWeb"/>
              <w:widowControl w:val="0"/>
              <w:spacing w:before="0" w:beforeAutospacing="0" w:after="0" w:afterAutospacing="0"/>
              <w:jc w:val="both"/>
              <w:textAlignment w:val="baseline"/>
            </w:pPr>
            <w:r w:rsidRPr="00C3103C">
              <w:t>b) Có bằng tốt nghiệp cao đẳng sư phạm hoặc có bằng tốt nghiệp cao đẳng và có chứng chỉ bồi dưỡng nghiệp vụ sư phạm đối với giáo viên trung học cơ sở;</w:t>
            </w:r>
          </w:p>
          <w:p w:rsidR="00C152CA" w:rsidRPr="00C3103C" w:rsidRDefault="00C152CA" w:rsidP="005B79A5">
            <w:pPr>
              <w:pStyle w:val="NormalWeb"/>
              <w:widowControl w:val="0"/>
              <w:spacing w:before="0" w:beforeAutospacing="0" w:after="0" w:afterAutospacing="0"/>
              <w:jc w:val="both"/>
              <w:textAlignment w:val="baseline"/>
            </w:pPr>
            <w:r w:rsidRPr="00C3103C">
              <w:t>c) Có bằng tốt nghiệp đại học sư phạm hoặc có bằng tốt nghiệp đại học và có chứng chỉ bồi dưỡng nghiệp vụ sư phạm đối với giáo viên trung học phổ thông;</w:t>
            </w:r>
          </w:p>
          <w:p w:rsidR="00C152CA" w:rsidRPr="00C3103C" w:rsidRDefault="00C152CA" w:rsidP="005B79A5">
            <w:pPr>
              <w:pStyle w:val="NormalWeb"/>
              <w:widowControl w:val="0"/>
              <w:spacing w:before="0" w:beforeAutospacing="0" w:after="0" w:afterAutospacing="0"/>
              <w:jc w:val="both"/>
              <w:textAlignment w:val="baseline"/>
            </w:pPr>
            <w:r w:rsidRPr="00C3103C">
              <w:t>d) Có bằng tốt nghiệp trung cấp nghề, cao đẳng nghề hoặc là nghệ nhân, công nhân kỹ thuật có tay nghề cao đối với giáo viên hướng dẫn thực hành ở cơ sở dạy nghề;</w:t>
            </w:r>
          </w:p>
          <w:p w:rsidR="00C152CA" w:rsidRPr="00C3103C" w:rsidRDefault="00C152CA" w:rsidP="005B79A5">
            <w:pPr>
              <w:pStyle w:val="NormalWeb"/>
              <w:widowControl w:val="0"/>
              <w:spacing w:before="0" w:beforeAutospacing="0" w:after="0" w:afterAutospacing="0"/>
              <w:jc w:val="both"/>
              <w:textAlignment w:val="baseline"/>
            </w:pPr>
            <w:r w:rsidRPr="00C3103C">
              <w:t>đ) Có bằng tốt nghiệp đại học sư phạm hoặc có bằng tốt nghiệp đại học và có chứng chỉ bồi dưỡng nghiệp vụ sư phạm đối với giáo viên giảng dạy trung cấp;</w:t>
            </w:r>
          </w:p>
          <w:p w:rsidR="00C152CA" w:rsidRPr="00C3103C" w:rsidRDefault="00C152CA" w:rsidP="005B79A5">
            <w:pPr>
              <w:pStyle w:val="NormalWeb"/>
              <w:widowControl w:val="0"/>
              <w:spacing w:before="0" w:beforeAutospacing="0" w:after="0" w:afterAutospacing="0"/>
              <w:jc w:val="both"/>
              <w:textAlignment w:val="baseline"/>
            </w:pPr>
            <w:r w:rsidRPr="00C3103C">
              <w:t>e) Có bằng tốt nghiệp đại học trở lên và có chứng chỉ bồi dưỡng nghiệp vụ sư phạm đối với nhà giáo giảng dạy cao đẳng, đại học; có bằng thạc sĩ trở lên đối với nhà giáo giảng dạy chuyên đề, hướng dẫn luận văn thạc sĩ; có bằng tiến sĩ đối với nhà giáo giảng dạy chuyên đề, hướng dẫn luận án tiến sĩ.</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2. Có đủ sức khoẻ.</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3. Có phẩm chất đạo đức tốt, thực hiện đầy đủ nghĩa vụ công dân và các quy định của pháp luật; hoàn thành các nhiệm vụ được giao tại cơ quan công tác.</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4. Không trong thời gian bị kỉ luật, bị truy cứu trách nhiệm hình sự, chấp hành án phạt tù, cải tạo không giam giữ, quản chế, bị áp dụng biện pháp giáo dục tại xã, phường, thị trấn hoặc đưa vào cơ sở chữa, cơ sở giáo dục; không bị kỷ luật với hình thức buộc thôi việc.</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xml:space="preserve">5. Được thủ trưởng cơ quan quản lý hoặc Chủ tịch Uỷ ban nhân cấp xã xác nhận các nội dung quy </w:t>
            </w:r>
            <w:r w:rsidRPr="00C3103C">
              <w:t xml:space="preserve">định tại khoản 3, khoản 4: </w:t>
            </w:r>
            <w:r w:rsidRPr="00C3103C">
              <w:rPr>
                <w:shd w:val="clear" w:color="auto" w:fill="FFFFFF"/>
              </w:rPr>
              <w:t xml:space="preserve">Cơ sở giáo dục đại học, cao đẳng, trung cấp chuyên nghiệp và trường dạy nghề không tổ chức dạy thêm, học thêm các nội dung theo chương trình giáo dục phổ thông; </w:t>
            </w:r>
            <w:r w:rsidRPr="00C3103C">
              <w:rPr>
                <w:color w:val="000000"/>
                <w:shd w:val="clear" w:color="auto" w:fill="FFFFFF"/>
              </w:rPr>
              <w:t xml:space="preserve">Đối với giáo viên đang hưởng lương từ quỹ lương của đơn vị sự nghiệp công lập </w:t>
            </w:r>
            <w:r w:rsidRPr="00C3103C">
              <w:rPr>
                <w:color w:val="000000"/>
              </w:rPr>
              <w:t>(đối với người dạy thêm ngoài nhà trường). Không được dạy thêm ngoài nhà trường đối với học sinh mà giáo viên dang dạy chính khoá khi chưa được sự cho phép của Thủ trưởng cơ quan quản lý giáo viên đó.</w:t>
            </w:r>
          </w:p>
          <w:p w:rsidR="00C152CA" w:rsidRPr="00C3103C" w:rsidRDefault="00C152CA" w:rsidP="005B79A5">
            <w:pPr>
              <w:pStyle w:val="NormalWeb"/>
              <w:widowControl w:val="0"/>
              <w:spacing w:before="0" w:beforeAutospacing="0" w:after="0" w:afterAutospacing="0"/>
              <w:jc w:val="both"/>
              <w:rPr>
                <w:color w:val="000000"/>
              </w:rPr>
            </w:pPr>
            <w:r w:rsidRPr="00C3103C">
              <w:rPr>
                <w:rStyle w:val="Strong"/>
                <w:b w:val="0"/>
                <w:color w:val="000000"/>
              </w:rPr>
              <w:t>* Yêu cầu đối với người tổ chức hoạt động dạy thêm, học thêm</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1. Có trình độ được đào tạo tối thiểu tương ứng với giáo viên dạy thêm  đạt trình độ chuẩn được đào tạo đối với từng cấp học theo quy định của Luật Giáo dục.</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2. Có đủ sức khỏe.</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xml:space="preserve">3. Không trong thời gian bị kỉ luật, bị truy cứu trách nhiệm hình sự, </w:t>
            </w:r>
            <w:r w:rsidRPr="00C3103C">
              <w:rPr>
                <w:color w:val="000000"/>
              </w:rPr>
              <w:lastRenderedPageBreak/>
              <w:t>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C152CA" w:rsidRPr="00C3103C" w:rsidRDefault="00C152CA" w:rsidP="005B79A5">
            <w:pPr>
              <w:pStyle w:val="NormalWeb"/>
              <w:widowControl w:val="0"/>
              <w:spacing w:before="0" w:beforeAutospacing="0" w:after="0" w:afterAutospacing="0"/>
              <w:jc w:val="both"/>
              <w:rPr>
                <w:color w:val="000000"/>
              </w:rPr>
            </w:pPr>
            <w:r w:rsidRPr="00C3103C">
              <w:rPr>
                <w:rStyle w:val="Strong"/>
                <w:b w:val="0"/>
                <w:color w:val="000000"/>
              </w:rPr>
              <w:t>* Cơ sở vật chất phục vụ dạy thêm, học thêm</w:t>
            </w:r>
          </w:p>
          <w:p w:rsidR="00C152CA" w:rsidRPr="00C3103C" w:rsidRDefault="00C152CA" w:rsidP="005B79A5">
            <w:pPr>
              <w:pStyle w:val="NormalWeb"/>
              <w:widowControl w:val="0"/>
              <w:spacing w:before="0" w:beforeAutospacing="0" w:after="0" w:afterAutospacing="0"/>
              <w:jc w:val="both"/>
            </w:pPr>
            <w:r w:rsidRPr="00C3103C">
              <w:rPr>
                <w:color w:val="000000"/>
              </w:rPr>
              <w:t xml:space="preserve">Cơ sở vật chất phục vụ dạy thêm, học thêm phải đảm bảo yêu cầu quy định </w:t>
            </w:r>
            <w:r w:rsidRPr="00C3103C">
              <w:t>tại Quyết định số 1221/QĐ-BYT ngày 18/4/2000 của Bộ Y tế về vệ sinh 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w:t>
            </w:r>
          </w:p>
          <w:p w:rsidR="00C152CA" w:rsidRPr="00C3103C" w:rsidRDefault="00C152CA" w:rsidP="005B79A5">
            <w:pPr>
              <w:pStyle w:val="NormalWeb"/>
              <w:widowControl w:val="0"/>
              <w:spacing w:before="0" w:beforeAutospacing="0" w:after="0" w:afterAutospacing="0"/>
              <w:jc w:val="both"/>
              <w:rPr>
                <w:color w:val="000000"/>
              </w:rPr>
            </w:pPr>
            <w:r w:rsidRPr="00BC020A">
              <w:rPr>
                <w:bCs/>
                <w:color w:val="000000"/>
              </w:rPr>
              <w:t xml:space="preserve">- </w:t>
            </w:r>
            <w:r w:rsidRPr="00C3103C">
              <w:rPr>
                <w:color w:val="000000"/>
              </w:rPr>
              <w:t>Diện tích phòng học: Trung bình từ 1,10m</w:t>
            </w:r>
            <w:r w:rsidRPr="00C3103C">
              <w:rPr>
                <w:color w:val="000000"/>
                <w:vertAlign w:val="superscript"/>
              </w:rPr>
              <w:t>2</w:t>
            </w:r>
            <w:r w:rsidRPr="00C3103C">
              <w:rPr>
                <w:color w:val="000000"/>
              </w:rPr>
              <w:t> đến 1,25m</w:t>
            </w:r>
            <w:r w:rsidRPr="00C3103C">
              <w:rPr>
                <w:color w:val="000000"/>
                <w:vertAlign w:val="superscript"/>
              </w:rPr>
              <w:t>2</w:t>
            </w:r>
            <w:r w:rsidRPr="00C3103C">
              <w:rPr>
                <w:color w:val="000000"/>
              </w:rPr>
              <w:t> cho một học sinh. Kích thước phòng học: chiều dài không quá 8,5m, chiều rộng không quá 6,5m, chiều cao 3,6m.</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BC020A">
              <w:rPr>
                <w:bCs/>
                <w:color w:val="000000"/>
              </w:rPr>
              <w:t xml:space="preserve">- </w:t>
            </w:r>
            <w:r w:rsidRPr="00C3103C">
              <w:rPr>
                <w:color w:val="000000"/>
              </w:rPr>
              <w:t>Thông gió thoáng khí.</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1. Phòng học được thông gió tự nhiên, đảm bảo mát mẻ về mùa hè, ấm áp về mùa đông.</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2. Phòng học có hệ thống thông gió nhân tạo như quạt trần, quạt thông gió treo cao trên mức nguồn sáng… để đảm bảo tỷ lệ khí CO</w:t>
            </w:r>
            <w:r w:rsidRPr="00C3103C">
              <w:rPr>
                <w:color w:val="000000"/>
                <w:vertAlign w:val="subscript"/>
              </w:rPr>
              <w:t>2</w:t>
            </w:r>
            <w:r w:rsidRPr="00C3103C">
              <w:rPr>
                <w:color w:val="000000"/>
              </w:rPr>
              <w:t> trong phòng không quá 0,1%.</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BC020A">
              <w:rPr>
                <w:bCs/>
                <w:color w:val="000000"/>
              </w:rPr>
              <w:t>-</w:t>
            </w:r>
            <w:r w:rsidRPr="00C3103C">
              <w:rPr>
                <w:b/>
                <w:bCs/>
                <w:color w:val="000000"/>
              </w:rPr>
              <w:t xml:space="preserve"> </w:t>
            </w:r>
            <w:r w:rsidRPr="00C3103C">
              <w:rPr>
                <w:color w:val="000000"/>
              </w:rPr>
              <w:t>Chiếu sáng.</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Phòng học cần đảm bảo độ chiếu sáng đồng đều không dưới 100 lux. Riêng phòng học có học sinh khiếm thị thì độ chiếu sáng không dưới 300 lux.</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1. Chiếu sáng tự nhiên:</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 Phòng học phải được chiếu sáng tự nhiên đầy đủ.</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 Hướng để lấy ánh sáng tự nhiên chủ yếu là hướng Nam (cửa sổ ở phía không có hành lang) về phía tay trái của học sinh khi ngồi viết.</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 Tổng số diện tích các cửa được chiếu sáng không dưới 1/5 diện tích phòng học.</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 Cửa sổ phải có cửa chớp, cửa kính để che nắng và cản mưa, gió lạnh thổi vào.</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2. Chiếu sáng nhân tạo.</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 Để hỗ trợ khi phòng học thiếu ánh sáng tự nhiên cần chiếu sáng nhân tạo. Số lượng bóng đèn chiếu sáng như sau: Nếu là bóng đèn tóc thì cần 4 bóng, mỗi bóng có công suất từ 150W đến 200W treo đều ở 4 góc. Nếu là bóng đèn neon thì treo 6-8 bóng, mỗi bóng dài 1,2m. Các bóng đèn treo ở độ cao cách mặt bàn học 2,8m.</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C3103C">
              <w:rPr>
                <w:color w:val="000000"/>
              </w:rPr>
              <w:t>3. Trần của phòng học quét vôi trắng, tường quét vôi mầu vàng nhạt.</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BC020A">
              <w:rPr>
                <w:bCs/>
                <w:color w:val="000000"/>
              </w:rPr>
              <w:t>-</w:t>
            </w:r>
            <w:r w:rsidRPr="00C3103C">
              <w:rPr>
                <w:b/>
                <w:bCs/>
                <w:color w:val="000000"/>
              </w:rPr>
              <w:t xml:space="preserve"> </w:t>
            </w:r>
            <w:r w:rsidRPr="00C3103C">
              <w:rPr>
                <w:color w:val="000000"/>
              </w:rPr>
              <w:t>Phòng học phải được yên tĩnh. Tiếng ồn trong phòng không được quá 50 đềxiben (dB).</w:t>
            </w:r>
          </w:p>
          <w:p w:rsidR="00C152CA" w:rsidRPr="00C3103C" w:rsidRDefault="00C152CA" w:rsidP="005B79A5">
            <w:pPr>
              <w:pStyle w:val="NormalWeb"/>
              <w:widowControl w:val="0"/>
              <w:shd w:val="clear" w:color="auto" w:fill="FFFFFF"/>
              <w:spacing w:before="0" w:beforeAutospacing="0" w:after="0" w:afterAutospacing="0"/>
              <w:jc w:val="both"/>
              <w:rPr>
                <w:color w:val="000000"/>
              </w:rPr>
            </w:pPr>
            <w:r w:rsidRPr="00BC020A">
              <w:rPr>
                <w:bCs/>
                <w:color w:val="000000"/>
              </w:rPr>
              <w:t>-</w:t>
            </w:r>
            <w:r w:rsidRPr="00C3103C">
              <w:rPr>
                <w:b/>
                <w:bCs/>
                <w:color w:val="000000"/>
              </w:rPr>
              <w:t xml:space="preserve"> </w:t>
            </w:r>
            <w:r w:rsidRPr="00C3103C">
              <w:rPr>
                <w:color w:val="000000"/>
              </w:rPr>
              <w:t>Phòng học phải được làm vệ sinh hằng ngày trước giờ học 20 phút hoặc sau khi tan học.</w:t>
            </w:r>
          </w:p>
          <w:p w:rsidR="00C152CA" w:rsidRPr="00C3103C" w:rsidRDefault="00C152CA" w:rsidP="005B79A5">
            <w:pPr>
              <w:pStyle w:val="NormalWeb"/>
              <w:widowControl w:val="0"/>
              <w:spacing w:before="0" w:beforeAutospacing="0" w:after="0" w:afterAutospacing="0"/>
              <w:jc w:val="both"/>
            </w:pPr>
            <w:r w:rsidRPr="00C3103C">
              <w:t>Trong đó có các yêu cầu tối thiểu:</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 xml:space="preserve">1. Địa điểm tổ chức dạy thêm, học thêm đảm bảo an toàn cho người dạy và người học; ở xa những nơi phát sinh các hơi khí độc hại, khói, bụi, tiếng ồn; ở xa các trục đường giao thông lớn, sông, suối, thác, ghềnh </w:t>
            </w:r>
            <w:r w:rsidRPr="00C3103C">
              <w:rPr>
                <w:color w:val="000000"/>
              </w:rPr>
              <w:lastRenderedPageBreak/>
              <w:t>hiểm trở.</w:t>
            </w:r>
          </w:p>
          <w:p w:rsidR="00C152CA" w:rsidRPr="00C3103C" w:rsidRDefault="00C152CA" w:rsidP="005B79A5">
            <w:pPr>
              <w:pStyle w:val="NormalWeb"/>
              <w:widowControl w:val="0"/>
              <w:spacing w:before="0" w:beforeAutospacing="0" w:after="0" w:afterAutospacing="0"/>
              <w:jc w:val="both"/>
              <w:rPr>
                <w:color w:val="000000"/>
              </w:rPr>
            </w:pPr>
            <w:r w:rsidRPr="00C3103C">
              <w:rPr>
                <w:color w:val="000000"/>
              </w:rPr>
              <w:t>2. Phòng học đảm bảo diện tích trung bình từ 1,10m</w:t>
            </w:r>
            <w:r w:rsidRPr="00C3103C">
              <w:rPr>
                <w:color w:val="000000"/>
                <w:vertAlign w:val="superscript"/>
              </w:rPr>
              <w:t>2</w:t>
            </w:r>
            <w:r w:rsidRPr="00C3103C">
              <w:rPr>
                <w:color w:val="000000"/>
              </w:rPr>
              <w:t>/học sinh trở lên; được thông gió và đủ độ chiếu sáng tự nhiên hoặc nhân tạo; đảm bảo các tiêu chuẩn vệ sinh, phòng bệnh.</w:t>
            </w:r>
          </w:p>
          <w:p w:rsidR="00C152CA" w:rsidRPr="00C3103C" w:rsidRDefault="00C152CA" w:rsidP="005B79A5">
            <w:pPr>
              <w:widowControl w:val="0"/>
              <w:jc w:val="both"/>
              <w:rPr>
                <w:sz w:val="24"/>
                <w:szCs w:val="24"/>
              </w:rPr>
            </w:pPr>
            <w:r w:rsidRPr="00C3103C">
              <w:rPr>
                <w:color w:val="000000"/>
                <w:sz w:val="24"/>
                <w:szCs w:val="24"/>
              </w:rPr>
              <w:t xml:space="preserve">3. Kích thước bàn, ghế học sinh và bố trí bàn, ghế học sinh trong phòng học đảm bảo các yêu cầu </w:t>
            </w:r>
            <w:r w:rsidRPr="00C3103C">
              <w:rPr>
                <w:sz w:val="24"/>
                <w:szCs w:val="24"/>
              </w:rPr>
              <w:t>tại Thông tư liên tịch số 26/2011/TTLT-BGDĐT-BKHCN-BYT ngày 16/6/2011:</w:t>
            </w:r>
          </w:p>
          <w:p w:rsidR="00C152CA" w:rsidRPr="00C3103C" w:rsidRDefault="00C152CA" w:rsidP="005B79A5">
            <w:pPr>
              <w:keepNext/>
              <w:widowControl w:val="0"/>
              <w:rPr>
                <w:b/>
                <w:iCs/>
                <w:color w:val="000000"/>
                <w:sz w:val="24"/>
                <w:szCs w:val="24"/>
                <w:lang w:val="en-GB"/>
              </w:rPr>
            </w:pPr>
            <w:r w:rsidRPr="00C3103C">
              <w:rPr>
                <w:b/>
                <w:iCs/>
                <w:color w:val="000000"/>
                <w:sz w:val="24"/>
                <w:szCs w:val="24"/>
                <w:lang w:val="en-GB"/>
              </w:rPr>
              <w:t xml:space="preserve"> Kích thước bàn ghế </w:t>
            </w:r>
          </w:p>
          <w:p w:rsidR="00C152CA" w:rsidRPr="00C3103C" w:rsidRDefault="00C152CA" w:rsidP="005B79A5">
            <w:pPr>
              <w:keepNext/>
              <w:widowControl w:val="0"/>
              <w:jc w:val="both"/>
              <w:rPr>
                <w:iCs/>
                <w:color w:val="000000"/>
                <w:spacing w:val="-6"/>
                <w:sz w:val="24"/>
                <w:szCs w:val="24"/>
                <w:lang w:val="en-GB"/>
              </w:rPr>
            </w:pPr>
            <w:r w:rsidRPr="00C3103C">
              <w:rPr>
                <w:sz w:val="24"/>
                <w:szCs w:val="24"/>
              </w:rPr>
              <w:t>1. Quy định cỡ số và mã số bàn ghế theo nhóm chiều cao học sinh:</w:t>
            </w:r>
          </w:p>
          <w:tbl>
            <w:tblPr>
              <w:tblW w:w="7139" w:type="dxa"/>
              <w:jc w:val="center"/>
              <w:tblInd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679"/>
              <w:gridCol w:w="3791"/>
            </w:tblGrid>
            <w:tr w:rsidR="00C152CA" w:rsidRPr="00C3103C" w:rsidTr="005B79A5">
              <w:trPr>
                <w:jc w:val="center"/>
              </w:trPr>
              <w:tc>
                <w:tcPr>
                  <w:tcW w:w="66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Cỡ số</w:t>
                  </w:r>
                </w:p>
              </w:tc>
              <w:tc>
                <w:tcPr>
                  <w:tcW w:w="267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Mã số</w:t>
                  </w:r>
                </w:p>
              </w:tc>
              <w:tc>
                <w:tcPr>
                  <w:tcW w:w="3791"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Chiều cao học sinh (cm)</w:t>
                  </w:r>
                </w:p>
              </w:tc>
            </w:tr>
            <w:tr w:rsidR="00C152CA" w:rsidRPr="00C3103C" w:rsidTr="005B79A5">
              <w:trPr>
                <w:jc w:val="center"/>
              </w:trPr>
              <w:tc>
                <w:tcPr>
                  <w:tcW w:w="66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I</w:t>
                  </w:r>
                </w:p>
              </w:tc>
              <w:tc>
                <w:tcPr>
                  <w:tcW w:w="267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I/100 - 109</w:t>
                  </w:r>
                </w:p>
              </w:tc>
              <w:tc>
                <w:tcPr>
                  <w:tcW w:w="3791"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 xml:space="preserve">Từ 100  đến 109 </w:t>
                  </w:r>
                </w:p>
              </w:tc>
            </w:tr>
            <w:tr w:rsidR="00C152CA" w:rsidRPr="00C3103C" w:rsidTr="005B79A5">
              <w:trPr>
                <w:jc w:val="center"/>
              </w:trPr>
              <w:tc>
                <w:tcPr>
                  <w:tcW w:w="66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II</w:t>
                  </w:r>
                </w:p>
              </w:tc>
              <w:tc>
                <w:tcPr>
                  <w:tcW w:w="267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II/110 - 119</w:t>
                  </w:r>
                </w:p>
              </w:tc>
              <w:tc>
                <w:tcPr>
                  <w:tcW w:w="3791"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 xml:space="preserve">Từ 110  đến 119 </w:t>
                  </w:r>
                </w:p>
              </w:tc>
            </w:tr>
            <w:tr w:rsidR="00C152CA" w:rsidRPr="00C3103C" w:rsidTr="005B79A5">
              <w:trPr>
                <w:jc w:val="center"/>
              </w:trPr>
              <w:tc>
                <w:tcPr>
                  <w:tcW w:w="66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III</w:t>
                  </w:r>
                </w:p>
              </w:tc>
              <w:tc>
                <w:tcPr>
                  <w:tcW w:w="267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III/120 - 129</w:t>
                  </w:r>
                </w:p>
              </w:tc>
              <w:tc>
                <w:tcPr>
                  <w:tcW w:w="3791"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 xml:space="preserve">Từ 120  đến 129 </w:t>
                  </w:r>
                </w:p>
              </w:tc>
            </w:tr>
            <w:tr w:rsidR="00C152CA" w:rsidRPr="00C3103C" w:rsidTr="005B79A5">
              <w:trPr>
                <w:jc w:val="center"/>
              </w:trPr>
              <w:tc>
                <w:tcPr>
                  <w:tcW w:w="66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IV</w:t>
                  </w:r>
                </w:p>
              </w:tc>
              <w:tc>
                <w:tcPr>
                  <w:tcW w:w="267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IV/130 - 144</w:t>
                  </w:r>
                </w:p>
              </w:tc>
              <w:tc>
                <w:tcPr>
                  <w:tcW w:w="3791"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 xml:space="preserve">Từ 130  đến 144 </w:t>
                  </w:r>
                </w:p>
              </w:tc>
            </w:tr>
            <w:tr w:rsidR="00C152CA" w:rsidRPr="00C3103C" w:rsidTr="005B79A5">
              <w:trPr>
                <w:jc w:val="center"/>
              </w:trPr>
              <w:tc>
                <w:tcPr>
                  <w:tcW w:w="66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V</w:t>
                  </w:r>
                </w:p>
              </w:tc>
              <w:tc>
                <w:tcPr>
                  <w:tcW w:w="267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V/145 - 159</w:t>
                  </w:r>
                </w:p>
              </w:tc>
              <w:tc>
                <w:tcPr>
                  <w:tcW w:w="3791"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 xml:space="preserve">Từ 145  đến 159 </w:t>
                  </w:r>
                </w:p>
              </w:tc>
            </w:tr>
            <w:tr w:rsidR="00C152CA" w:rsidRPr="00C3103C" w:rsidTr="005B79A5">
              <w:trPr>
                <w:jc w:val="center"/>
              </w:trPr>
              <w:tc>
                <w:tcPr>
                  <w:tcW w:w="66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VI</w:t>
                  </w:r>
                </w:p>
              </w:tc>
              <w:tc>
                <w:tcPr>
                  <w:tcW w:w="267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VI/160 - 175</w:t>
                  </w:r>
                </w:p>
              </w:tc>
              <w:tc>
                <w:tcPr>
                  <w:tcW w:w="3791"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 xml:space="preserve">Từ 160  đến 175 </w:t>
                  </w:r>
                </w:p>
              </w:tc>
            </w:tr>
          </w:tbl>
          <w:p w:rsidR="00C152CA" w:rsidRPr="00C3103C" w:rsidRDefault="00C152CA" w:rsidP="005B79A5">
            <w:pPr>
              <w:keepNext/>
              <w:widowControl w:val="0"/>
              <w:ind w:firstLine="12"/>
              <w:jc w:val="both"/>
              <w:rPr>
                <w:iCs/>
                <w:color w:val="000000"/>
                <w:sz w:val="24"/>
                <w:szCs w:val="24"/>
                <w:lang w:val="en-GB"/>
              </w:rPr>
            </w:pPr>
            <w:r w:rsidRPr="00C3103C">
              <w:rPr>
                <w:sz w:val="24"/>
                <w:szCs w:val="24"/>
              </w:rPr>
              <w:t xml:space="preserve">2. Quy định kích thước cơ bản của bàn ghế (sai số cho phép của kích thước là </w:t>
            </w:r>
            <w:r w:rsidRPr="00C3103C">
              <w:rPr>
                <w:b/>
                <w:iCs/>
                <w:color w:val="000000"/>
                <w:sz w:val="24"/>
                <w:szCs w:val="24"/>
                <w:lang w:val="en-GB"/>
              </w:rPr>
              <w:t xml:space="preserve">± </w:t>
            </w:r>
            <w:r w:rsidRPr="00C3103C">
              <w:rPr>
                <w:iCs/>
                <w:color w:val="000000"/>
                <w:sz w:val="24"/>
                <w:szCs w:val="24"/>
                <w:lang w:val="en-GB"/>
              </w:rPr>
              <w:t>0,5cm):</w:t>
            </w:r>
          </w:p>
          <w:tbl>
            <w:tblPr>
              <w:tblW w:w="7109" w:type="dxa"/>
              <w:jc w:val="center"/>
              <w:tblInd w:w="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668"/>
              <w:gridCol w:w="849"/>
              <w:gridCol w:w="844"/>
              <w:gridCol w:w="882"/>
              <w:gridCol w:w="794"/>
              <w:gridCol w:w="640"/>
            </w:tblGrid>
            <w:tr w:rsidR="00C152CA" w:rsidRPr="00C3103C" w:rsidTr="005B79A5">
              <w:trPr>
                <w:tblHeader/>
                <w:jc w:val="center"/>
              </w:trPr>
              <w:tc>
                <w:tcPr>
                  <w:tcW w:w="2432" w:type="dxa"/>
                  <w:vMerge w:val="restart"/>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jc w:val="center"/>
                    <w:rPr>
                      <w:b/>
                      <w:sz w:val="24"/>
                      <w:szCs w:val="24"/>
                    </w:rPr>
                  </w:pPr>
                  <w:r w:rsidRPr="00C3103C">
                    <w:rPr>
                      <w:b/>
                      <w:sz w:val="24"/>
                      <w:szCs w:val="24"/>
                    </w:rPr>
                    <w:t>Thông số</w:t>
                  </w:r>
                </w:p>
              </w:tc>
              <w:tc>
                <w:tcPr>
                  <w:tcW w:w="4677" w:type="dxa"/>
                  <w:gridSpan w:val="6"/>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Cỡ số</w:t>
                  </w:r>
                </w:p>
              </w:tc>
            </w:tr>
            <w:tr w:rsidR="00C152CA" w:rsidRPr="00C3103C" w:rsidTr="005B79A5">
              <w:trPr>
                <w:tblHeader/>
                <w:jc w:val="center"/>
              </w:trPr>
              <w:tc>
                <w:tcPr>
                  <w:tcW w:w="2432" w:type="dxa"/>
                  <w:vMerge/>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widowControl w:val="0"/>
                    <w:rPr>
                      <w:b/>
                      <w:sz w:val="24"/>
                      <w:szCs w:val="24"/>
                    </w:rPr>
                  </w:pPr>
                </w:p>
              </w:tc>
              <w:tc>
                <w:tcPr>
                  <w:tcW w:w="66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I</w:t>
                  </w:r>
                </w:p>
              </w:tc>
              <w:tc>
                <w:tcPr>
                  <w:tcW w:w="84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II</w:t>
                  </w:r>
                </w:p>
              </w:tc>
              <w:tc>
                <w:tcPr>
                  <w:tcW w:w="84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III</w:t>
                  </w:r>
                </w:p>
              </w:tc>
              <w:tc>
                <w:tcPr>
                  <w:tcW w:w="88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IV</w:t>
                  </w:r>
                </w:p>
              </w:tc>
              <w:tc>
                <w:tcPr>
                  <w:tcW w:w="79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V</w:t>
                  </w:r>
                </w:p>
              </w:tc>
              <w:tc>
                <w:tcPr>
                  <w:tcW w:w="640"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b/>
                      <w:sz w:val="24"/>
                      <w:szCs w:val="24"/>
                    </w:rPr>
                  </w:pPr>
                  <w:r w:rsidRPr="00C3103C">
                    <w:rPr>
                      <w:b/>
                      <w:sz w:val="24"/>
                      <w:szCs w:val="24"/>
                    </w:rPr>
                    <w:t>VI</w:t>
                  </w:r>
                </w:p>
              </w:tc>
            </w:tr>
            <w:tr w:rsidR="00C152CA" w:rsidRPr="00C3103C" w:rsidTr="005B79A5">
              <w:trPr>
                <w:jc w:val="center"/>
              </w:trPr>
              <w:tc>
                <w:tcPr>
                  <w:tcW w:w="243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rPr>
                      <w:sz w:val="24"/>
                      <w:szCs w:val="24"/>
                    </w:rPr>
                  </w:pPr>
                  <w:r w:rsidRPr="00C3103C">
                    <w:rPr>
                      <w:sz w:val="24"/>
                      <w:szCs w:val="24"/>
                    </w:rPr>
                    <w:t>- Chiều cao ghế (cm)</w:t>
                  </w:r>
                </w:p>
              </w:tc>
              <w:tc>
                <w:tcPr>
                  <w:tcW w:w="66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26</w:t>
                  </w:r>
                </w:p>
              </w:tc>
              <w:tc>
                <w:tcPr>
                  <w:tcW w:w="84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28</w:t>
                  </w:r>
                </w:p>
              </w:tc>
              <w:tc>
                <w:tcPr>
                  <w:tcW w:w="84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30</w:t>
                  </w:r>
                </w:p>
              </w:tc>
              <w:tc>
                <w:tcPr>
                  <w:tcW w:w="88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34</w:t>
                  </w:r>
                </w:p>
              </w:tc>
              <w:tc>
                <w:tcPr>
                  <w:tcW w:w="79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37</w:t>
                  </w:r>
                </w:p>
              </w:tc>
              <w:tc>
                <w:tcPr>
                  <w:tcW w:w="640"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41</w:t>
                  </w:r>
                </w:p>
              </w:tc>
            </w:tr>
            <w:tr w:rsidR="00C152CA" w:rsidRPr="00C3103C" w:rsidTr="005B79A5">
              <w:trPr>
                <w:jc w:val="center"/>
              </w:trPr>
              <w:tc>
                <w:tcPr>
                  <w:tcW w:w="243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rPr>
                      <w:sz w:val="24"/>
                      <w:szCs w:val="24"/>
                    </w:rPr>
                  </w:pPr>
                  <w:r w:rsidRPr="00C3103C">
                    <w:rPr>
                      <w:sz w:val="24"/>
                      <w:szCs w:val="24"/>
                    </w:rPr>
                    <w:t>- Chiều sâu ghế (cm)</w:t>
                  </w:r>
                </w:p>
              </w:tc>
              <w:tc>
                <w:tcPr>
                  <w:tcW w:w="66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26</w:t>
                  </w:r>
                </w:p>
              </w:tc>
              <w:tc>
                <w:tcPr>
                  <w:tcW w:w="84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27</w:t>
                  </w:r>
                </w:p>
              </w:tc>
              <w:tc>
                <w:tcPr>
                  <w:tcW w:w="84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29</w:t>
                  </w:r>
                </w:p>
              </w:tc>
              <w:tc>
                <w:tcPr>
                  <w:tcW w:w="88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33</w:t>
                  </w:r>
                </w:p>
              </w:tc>
              <w:tc>
                <w:tcPr>
                  <w:tcW w:w="79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36</w:t>
                  </w:r>
                </w:p>
              </w:tc>
              <w:tc>
                <w:tcPr>
                  <w:tcW w:w="640"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40</w:t>
                  </w:r>
                </w:p>
              </w:tc>
            </w:tr>
            <w:tr w:rsidR="00C152CA" w:rsidRPr="00C3103C" w:rsidTr="005B79A5">
              <w:trPr>
                <w:jc w:val="center"/>
              </w:trPr>
              <w:tc>
                <w:tcPr>
                  <w:tcW w:w="243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rPr>
                      <w:sz w:val="24"/>
                      <w:szCs w:val="24"/>
                    </w:rPr>
                  </w:pPr>
                  <w:r w:rsidRPr="00C3103C">
                    <w:rPr>
                      <w:sz w:val="24"/>
                      <w:szCs w:val="24"/>
                    </w:rPr>
                    <w:t>- Chiều rộng ghế (cm)</w:t>
                  </w:r>
                </w:p>
              </w:tc>
              <w:tc>
                <w:tcPr>
                  <w:tcW w:w="66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23</w:t>
                  </w:r>
                </w:p>
              </w:tc>
              <w:tc>
                <w:tcPr>
                  <w:tcW w:w="84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25</w:t>
                  </w:r>
                </w:p>
              </w:tc>
              <w:tc>
                <w:tcPr>
                  <w:tcW w:w="84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27</w:t>
                  </w:r>
                </w:p>
              </w:tc>
              <w:tc>
                <w:tcPr>
                  <w:tcW w:w="88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31</w:t>
                  </w:r>
                </w:p>
              </w:tc>
              <w:tc>
                <w:tcPr>
                  <w:tcW w:w="79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34</w:t>
                  </w:r>
                </w:p>
              </w:tc>
              <w:tc>
                <w:tcPr>
                  <w:tcW w:w="640"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36</w:t>
                  </w:r>
                </w:p>
              </w:tc>
            </w:tr>
            <w:tr w:rsidR="00C152CA" w:rsidRPr="00C3103C" w:rsidTr="005B79A5">
              <w:trPr>
                <w:jc w:val="center"/>
              </w:trPr>
              <w:tc>
                <w:tcPr>
                  <w:tcW w:w="243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rPr>
                      <w:sz w:val="24"/>
                      <w:szCs w:val="24"/>
                    </w:rPr>
                  </w:pPr>
                  <w:r w:rsidRPr="00C3103C">
                    <w:rPr>
                      <w:sz w:val="24"/>
                      <w:szCs w:val="24"/>
                    </w:rPr>
                    <w:t>- Chiều cao bàn (cm)</w:t>
                  </w:r>
                </w:p>
              </w:tc>
              <w:tc>
                <w:tcPr>
                  <w:tcW w:w="66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45</w:t>
                  </w:r>
                </w:p>
              </w:tc>
              <w:tc>
                <w:tcPr>
                  <w:tcW w:w="84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48</w:t>
                  </w:r>
                </w:p>
              </w:tc>
              <w:tc>
                <w:tcPr>
                  <w:tcW w:w="84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51</w:t>
                  </w:r>
                </w:p>
              </w:tc>
              <w:tc>
                <w:tcPr>
                  <w:tcW w:w="88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57</w:t>
                  </w:r>
                </w:p>
              </w:tc>
              <w:tc>
                <w:tcPr>
                  <w:tcW w:w="79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63</w:t>
                  </w:r>
                </w:p>
              </w:tc>
              <w:tc>
                <w:tcPr>
                  <w:tcW w:w="640"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69</w:t>
                  </w:r>
                </w:p>
              </w:tc>
            </w:tr>
            <w:tr w:rsidR="00C152CA" w:rsidRPr="00C3103C" w:rsidTr="005B79A5">
              <w:trPr>
                <w:jc w:val="center"/>
              </w:trPr>
              <w:tc>
                <w:tcPr>
                  <w:tcW w:w="243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ind w:left="-108" w:firstLine="108"/>
                    <w:rPr>
                      <w:sz w:val="24"/>
                      <w:szCs w:val="24"/>
                    </w:rPr>
                  </w:pPr>
                  <w:r w:rsidRPr="00C3103C">
                    <w:rPr>
                      <w:sz w:val="24"/>
                      <w:szCs w:val="24"/>
                    </w:rPr>
                    <w:t>- Hiệu số chiều cao bàn ghế (cm)</w:t>
                  </w:r>
                </w:p>
              </w:tc>
              <w:tc>
                <w:tcPr>
                  <w:tcW w:w="66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19</w:t>
                  </w:r>
                </w:p>
              </w:tc>
              <w:tc>
                <w:tcPr>
                  <w:tcW w:w="84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20</w:t>
                  </w:r>
                </w:p>
              </w:tc>
              <w:tc>
                <w:tcPr>
                  <w:tcW w:w="84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21</w:t>
                  </w:r>
                </w:p>
              </w:tc>
              <w:tc>
                <w:tcPr>
                  <w:tcW w:w="88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23</w:t>
                  </w:r>
                </w:p>
              </w:tc>
              <w:tc>
                <w:tcPr>
                  <w:tcW w:w="79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26</w:t>
                  </w:r>
                </w:p>
              </w:tc>
              <w:tc>
                <w:tcPr>
                  <w:tcW w:w="640"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28</w:t>
                  </w:r>
                </w:p>
              </w:tc>
            </w:tr>
            <w:tr w:rsidR="00C152CA" w:rsidRPr="00C3103C" w:rsidTr="005B79A5">
              <w:trPr>
                <w:jc w:val="center"/>
              </w:trPr>
              <w:tc>
                <w:tcPr>
                  <w:tcW w:w="243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rPr>
                      <w:sz w:val="24"/>
                      <w:szCs w:val="24"/>
                    </w:rPr>
                  </w:pPr>
                  <w:r w:rsidRPr="00C3103C">
                    <w:rPr>
                      <w:sz w:val="24"/>
                      <w:szCs w:val="24"/>
                    </w:rPr>
                    <w:t>- Chiều sâu bàn (cm)</w:t>
                  </w:r>
                </w:p>
              </w:tc>
              <w:tc>
                <w:tcPr>
                  <w:tcW w:w="66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45</w:t>
                  </w:r>
                </w:p>
              </w:tc>
              <w:tc>
                <w:tcPr>
                  <w:tcW w:w="849"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45</w:t>
                  </w:r>
                </w:p>
              </w:tc>
              <w:tc>
                <w:tcPr>
                  <w:tcW w:w="84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45</w:t>
                  </w:r>
                </w:p>
              </w:tc>
              <w:tc>
                <w:tcPr>
                  <w:tcW w:w="882"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50</w:t>
                  </w:r>
                </w:p>
              </w:tc>
              <w:tc>
                <w:tcPr>
                  <w:tcW w:w="794"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50</w:t>
                  </w:r>
                </w:p>
              </w:tc>
              <w:tc>
                <w:tcPr>
                  <w:tcW w:w="640"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50</w:t>
                  </w:r>
                </w:p>
              </w:tc>
            </w:tr>
            <w:tr w:rsidR="00C152CA" w:rsidRPr="00C3103C" w:rsidTr="005B79A5">
              <w:trPr>
                <w:jc w:val="center"/>
              </w:trPr>
              <w:tc>
                <w:tcPr>
                  <w:tcW w:w="2432" w:type="dxa"/>
                  <w:tcBorders>
                    <w:top w:val="single" w:sz="4" w:space="0" w:color="auto"/>
                    <w:left w:val="single" w:sz="4" w:space="0" w:color="auto"/>
                    <w:bottom w:val="dotted" w:sz="4" w:space="0" w:color="auto"/>
                    <w:right w:val="single" w:sz="4" w:space="0" w:color="auto"/>
                  </w:tcBorders>
                </w:tcPr>
                <w:p w:rsidR="00C152CA" w:rsidRPr="00C3103C" w:rsidRDefault="00C152CA" w:rsidP="005B79A5">
                  <w:pPr>
                    <w:keepNext/>
                    <w:widowControl w:val="0"/>
                    <w:rPr>
                      <w:sz w:val="24"/>
                      <w:szCs w:val="24"/>
                    </w:rPr>
                  </w:pPr>
                  <w:r w:rsidRPr="00C3103C">
                    <w:rPr>
                      <w:sz w:val="24"/>
                      <w:szCs w:val="24"/>
                    </w:rPr>
                    <w:t>- Chiều rộng bàn (cm)</w:t>
                  </w:r>
                </w:p>
              </w:tc>
              <w:tc>
                <w:tcPr>
                  <w:tcW w:w="668" w:type="dxa"/>
                  <w:tcBorders>
                    <w:top w:val="single"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p>
              </w:tc>
              <w:tc>
                <w:tcPr>
                  <w:tcW w:w="849" w:type="dxa"/>
                  <w:tcBorders>
                    <w:top w:val="single"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p>
              </w:tc>
              <w:tc>
                <w:tcPr>
                  <w:tcW w:w="844" w:type="dxa"/>
                  <w:tcBorders>
                    <w:top w:val="single"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p>
              </w:tc>
              <w:tc>
                <w:tcPr>
                  <w:tcW w:w="882" w:type="dxa"/>
                  <w:tcBorders>
                    <w:top w:val="single"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p>
              </w:tc>
              <w:tc>
                <w:tcPr>
                  <w:tcW w:w="794" w:type="dxa"/>
                  <w:tcBorders>
                    <w:top w:val="single"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p>
              </w:tc>
              <w:tc>
                <w:tcPr>
                  <w:tcW w:w="640" w:type="dxa"/>
                  <w:tcBorders>
                    <w:top w:val="single"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p>
              </w:tc>
            </w:tr>
            <w:tr w:rsidR="00C152CA" w:rsidRPr="00C3103C" w:rsidTr="005B79A5">
              <w:trPr>
                <w:jc w:val="center"/>
              </w:trPr>
              <w:tc>
                <w:tcPr>
                  <w:tcW w:w="2432" w:type="dxa"/>
                  <w:tcBorders>
                    <w:top w:val="dotted" w:sz="4" w:space="0" w:color="auto"/>
                    <w:left w:val="single" w:sz="4" w:space="0" w:color="auto"/>
                    <w:bottom w:val="dotted" w:sz="4" w:space="0" w:color="auto"/>
                    <w:right w:val="single" w:sz="4" w:space="0" w:color="auto"/>
                  </w:tcBorders>
                </w:tcPr>
                <w:p w:rsidR="00C152CA" w:rsidRPr="00C3103C" w:rsidRDefault="00C152CA" w:rsidP="005B79A5">
                  <w:pPr>
                    <w:keepNext/>
                    <w:widowControl w:val="0"/>
                    <w:ind w:firstLine="44"/>
                    <w:rPr>
                      <w:i/>
                      <w:sz w:val="24"/>
                      <w:szCs w:val="24"/>
                    </w:rPr>
                  </w:pPr>
                  <w:r w:rsidRPr="00C3103C">
                    <w:rPr>
                      <w:i/>
                      <w:sz w:val="24"/>
                      <w:szCs w:val="24"/>
                    </w:rPr>
                    <w:t>+ Bàn một chỗ ngồi</w:t>
                  </w:r>
                </w:p>
              </w:tc>
              <w:tc>
                <w:tcPr>
                  <w:tcW w:w="668" w:type="dxa"/>
                  <w:tcBorders>
                    <w:top w:val="dotted"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60</w:t>
                  </w:r>
                </w:p>
              </w:tc>
              <w:tc>
                <w:tcPr>
                  <w:tcW w:w="849" w:type="dxa"/>
                  <w:tcBorders>
                    <w:top w:val="dotted"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60</w:t>
                  </w:r>
                </w:p>
              </w:tc>
              <w:tc>
                <w:tcPr>
                  <w:tcW w:w="844" w:type="dxa"/>
                  <w:tcBorders>
                    <w:top w:val="dotted"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60</w:t>
                  </w:r>
                </w:p>
              </w:tc>
              <w:tc>
                <w:tcPr>
                  <w:tcW w:w="882" w:type="dxa"/>
                  <w:tcBorders>
                    <w:top w:val="dotted"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60</w:t>
                  </w:r>
                </w:p>
              </w:tc>
              <w:tc>
                <w:tcPr>
                  <w:tcW w:w="794" w:type="dxa"/>
                  <w:tcBorders>
                    <w:top w:val="dotted"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60</w:t>
                  </w:r>
                </w:p>
              </w:tc>
              <w:tc>
                <w:tcPr>
                  <w:tcW w:w="640" w:type="dxa"/>
                  <w:tcBorders>
                    <w:top w:val="dotted" w:sz="4" w:space="0" w:color="auto"/>
                    <w:left w:val="single" w:sz="4" w:space="0" w:color="auto"/>
                    <w:bottom w:val="dotted"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60</w:t>
                  </w:r>
                </w:p>
              </w:tc>
            </w:tr>
            <w:tr w:rsidR="00C152CA" w:rsidRPr="00C3103C" w:rsidTr="005B79A5">
              <w:trPr>
                <w:jc w:val="center"/>
              </w:trPr>
              <w:tc>
                <w:tcPr>
                  <w:tcW w:w="2432" w:type="dxa"/>
                  <w:tcBorders>
                    <w:top w:val="dotted" w:sz="4" w:space="0" w:color="auto"/>
                    <w:left w:val="single" w:sz="4" w:space="0" w:color="auto"/>
                    <w:bottom w:val="single" w:sz="4" w:space="0" w:color="auto"/>
                    <w:right w:val="single" w:sz="4" w:space="0" w:color="auto"/>
                  </w:tcBorders>
                </w:tcPr>
                <w:p w:rsidR="00C152CA" w:rsidRPr="00C3103C" w:rsidRDefault="00C152CA" w:rsidP="005B79A5">
                  <w:pPr>
                    <w:keepNext/>
                    <w:widowControl w:val="0"/>
                    <w:ind w:firstLine="44"/>
                    <w:rPr>
                      <w:i/>
                      <w:sz w:val="24"/>
                      <w:szCs w:val="24"/>
                    </w:rPr>
                  </w:pPr>
                  <w:r w:rsidRPr="00C3103C">
                    <w:rPr>
                      <w:i/>
                      <w:sz w:val="24"/>
                      <w:szCs w:val="24"/>
                    </w:rPr>
                    <w:t>+ Bàn hai  chỗ ngồi</w:t>
                  </w:r>
                </w:p>
              </w:tc>
              <w:tc>
                <w:tcPr>
                  <w:tcW w:w="668" w:type="dxa"/>
                  <w:tcBorders>
                    <w:top w:val="dotted"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120</w:t>
                  </w:r>
                </w:p>
              </w:tc>
              <w:tc>
                <w:tcPr>
                  <w:tcW w:w="849" w:type="dxa"/>
                  <w:tcBorders>
                    <w:top w:val="dotted"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120</w:t>
                  </w:r>
                </w:p>
              </w:tc>
              <w:tc>
                <w:tcPr>
                  <w:tcW w:w="844" w:type="dxa"/>
                  <w:tcBorders>
                    <w:top w:val="dotted"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120</w:t>
                  </w:r>
                </w:p>
              </w:tc>
              <w:tc>
                <w:tcPr>
                  <w:tcW w:w="882" w:type="dxa"/>
                  <w:tcBorders>
                    <w:top w:val="dotted"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120</w:t>
                  </w:r>
                </w:p>
              </w:tc>
              <w:tc>
                <w:tcPr>
                  <w:tcW w:w="794" w:type="dxa"/>
                  <w:tcBorders>
                    <w:top w:val="dotted"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120</w:t>
                  </w:r>
                </w:p>
              </w:tc>
              <w:tc>
                <w:tcPr>
                  <w:tcW w:w="640" w:type="dxa"/>
                  <w:tcBorders>
                    <w:top w:val="dotted"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120</w:t>
                  </w:r>
                </w:p>
              </w:tc>
            </w:tr>
          </w:tbl>
          <w:p w:rsidR="00C152CA" w:rsidRPr="00C3103C" w:rsidRDefault="00C152CA" w:rsidP="005B79A5">
            <w:pPr>
              <w:keepNext/>
              <w:widowControl w:val="0"/>
              <w:ind w:firstLine="12"/>
              <w:jc w:val="both"/>
              <w:rPr>
                <w:b/>
                <w:sz w:val="24"/>
                <w:szCs w:val="24"/>
              </w:rPr>
            </w:pPr>
            <w:r w:rsidRPr="00C3103C">
              <w:rPr>
                <w:b/>
                <w:sz w:val="24"/>
                <w:szCs w:val="24"/>
              </w:rPr>
              <w:t>Kiểu dáng, mầu sắc bàn ghế</w:t>
            </w:r>
          </w:p>
          <w:p w:rsidR="00C152CA" w:rsidRPr="00C3103C" w:rsidRDefault="00C152CA" w:rsidP="005B79A5">
            <w:pPr>
              <w:keepNext/>
              <w:widowControl w:val="0"/>
              <w:ind w:firstLine="12"/>
              <w:jc w:val="both"/>
              <w:rPr>
                <w:b/>
                <w:sz w:val="24"/>
                <w:szCs w:val="24"/>
              </w:rPr>
            </w:pPr>
            <w:r w:rsidRPr="00C3103C">
              <w:rPr>
                <w:sz w:val="24"/>
                <w:szCs w:val="24"/>
              </w:rPr>
              <w:t>1. Bàn ghế được thiết kế tối đa không quá hai chỗ ngồi.</w:t>
            </w:r>
          </w:p>
          <w:p w:rsidR="00C152CA" w:rsidRPr="00C3103C" w:rsidRDefault="00C152CA" w:rsidP="005B79A5">
            <w:pPr>
              <w:keepNext/>
              <w:widowControl w:val="0"/>
              <w:ind w:firstLine="12"/>
              <w:jc w:val="both"/>
              <w:rPr>
                <w:sz w:val="24"/>
                <w:szCs w:val="24"/>
              </w:rPr>
            </w:pPr>
            <w:r w:rsidRPr="00C3103C">
              <w:rPr>
                <w:sz w:val="24"/>
                <w:szCs w:val="24"/>
              </w:rPr>
              <w:t>2. Bàn và ghế rời nhau độc lập.</w:t>
            </w:r>
          </w:p>
          <w:p w:rsidR="00C152CA" w:rsidRPr="00C3103C" w:rsidRDefault="00C152CA" w:rsidP="005B79A5">
            <w:pPr>
              <w:keepNext/>
              <w:widowControl w:val="0"/>
              <w:ind w:firstLine="12"/>
              <w:jc w:val="both"/>
              <w:rPr>
                <w:sz w:val="24"/>
                <w:szCs w:val="24"/>
              </w:rPr>
            </w:pPr>
            <w:r w:rsidRPr="00C3103C">
              <w:rPr>
                <w:sz w:val="24"/>
                <w:szCs w:val="24"/>
              </w:rPr>
              <w:t>3. Bàn phải bố trí chỗ để đồ dùng học tập phù hợp với cấu trúc thiết kế.</w:t>
            </w:r>
          </w:p>
          <w:p w:rsidR="00C152CA" w:rsidRPr="00C3103C" w:rsidRDefault="00C152CA" w:rsidP="005B79A5">
            <w:pPr>
              <w:keepNext/>
              <w:widowControl w:val="0"/>
              <w:ind w:firstLine="12"/>
              <w:jc w:val="both"/>
              <w:rPr>
                <w:sz w:val="24"/>
                <w:szCs w:val="24"/>
              </w:rPr>
            </w:pPr>
            <w:r w:rsidRPr="00C3103C">
              <w:rPr>
                <w:spacing w:val="-6"/>
                <w:sz w:val="24"/>
                <w:szCs w:val="24"/>
              </w:rPr>
              <w:t>4. Ghế có thể có tựa sau hoặc không có tựa sau phù hợp với lứa tuổi học sinh.</w:t>
            </w:r>
          </w:p>
          <w:p w:rsidR="00C152CA" w:rsidRPr="00C3103C" w:rsidRDefault="00C152CA" w:rsidP="005B79A5">
            <w:pPr>
              <w:keepNext/>
              <w:widowControl w:val="0"/>
              <w:ind w:firstLine="12"/>
              <w:jc w:val="both"/>
              <w:rPr>
                <w:sz w:val="24"/>
                <w:szCs w:val="24"/>
              </w:rPr>
            </w:pPr>
            <w:r w:rsidRPr="00C3103C">
              <w:rPr>
                <w:sz w:val="24"/>
                <w:szCs w:val="24"/>
              </w:rPr>
              <w:t>5. Các góc, cạnh của bàn ghế phải nhẵn đảm bảo thẩm mỹ, an toàn.</w:t>
            </w:r>
          </w:p>
          <w:p w:rsidR="00C152CA" w:rsidRPr="00C3103C" w:rsidRDefault="00C152CA" w:rsidP="005B79A5">
            <w:pPr>
              <w:keepNext/>
              <w:widowControl w:val="0"/>
              <w:ind w:firstLine="12"/>
              <w:jc w:val="both"/>
              <w:rPr>
                <w:sz w:val="24"/>
                <w:szCs w:val="24"/>
              </w:rPr>
            </w:pPr>
            <w:r w:rsidRPr="00C3103C">
              <w:rPr>
                <w:sz w:val="24"/>
                <w:szCs w:val="24"/>
              </w:rPr>
              <w:t>6. Bàn ghế sử dụng màu sắc đảm bảo tính thẩm mỹ và phải phù hợp với môi trường học tập của lứa tuổi học sinh.</w:t>
            </w:r>
          </w:p>
          <w:p w:rsidR="00C152CA" w:rsidRPr="00C3103C" w:rsidRDefault="00C152CA" w:rsidP="005B79A5">
            <w:pPr>
              <w:keepNext/>
              <w:widowControl w:val="0"/>
              <w:ind w:firstLine="12"/>
              <w:jc w:val="both"/>
              <w:rPr>
                <w:sz w:val="24"/>
                <w:szCs w:val="24"/>
              </w:rPr>
            </w:pPr>
            <w:r w:rsidRPr="00C3103C">
              <w:rPr>
                <w:b/>
                <w:sz w:val="24"/>
                <w:szCs w:val="24"/>
              </w:rPr>
              <w:t xml:space="preserve"> Vật liệu làm bàn ghế</w:t>
            </w:r>
          </w:p>
          <w:p w:rsidR="00C152CA" w:rsidRPr="00C3103C" w:rsidRDefault="00C152CA" w:rsidP="005B79A5">
            <w:pPr>
              <w:keepNext/>
              <w:widowControl w:val="0"/>
              <w:ind w:firstLine="12"/>
              <w:jc w:val="both"/>
              <w:rPr>
                <w:sz w:val="24"/>
                <w:szCs w:val="24"/>
              </w:rPr>
            </w:pPr>
            <w:r w:rsidRPr="00C3103C">
              <w:rPr>
                <w:sz w:val="24"/>
                <w:szCs w:val="24"/>
              </w:rPr>
              <w:t xml:space="preserve">Mặt bàn, mặt ghế và </w:t>
            </w:r>
            <w:r w:rsidRPr="00C3103C">
              <w:rPr>
                <w:spacing w:val="-4"/>
                <w:sz w:val="24"/>
                <w:szCs w:val="24"/>
              </w:rPr>
              <w:t xml:space="preserve">chân bàn, chân ghế </w:t>
            </w:r>
            <w:r w:rsidRPr="00C3103C">
              <w:rPr>
                <w:sz w:val="24"/>
                <w:szCs w:val="24"/>
              </w:rPr>
              <w:t xml:space="preserve"> phải được làm bằng vật liệu cứng chịu lực, chịu được nước, không cong vênh, không độc hại.</w:t>
            </w:r>
          </w:p>
          <w:p w:rsidR="00C152CA" w:rsidRPr="00C3103C" w:rsidRDefault="00C152CA" w:rsidP="005B79A5">
            <w:pPr>
              <w:keepNext/>
              <w:widowControl w:val="0"/>
              <w:ind w:firstLine="12"/>
              <w:jc w:val="both"/>
              <w:rPr>
                <w:b/>
                <w:sz w:val="24"/>
                <w:szCs w:val="24"/>
              </w:rPr>
            </w:pPr>
            <w:r w:rsidRPr="00C3103C">
              <w:rPr>
                <w:b/>
                <w:sz w:val="24"/>
                <w:szCs w:val="24"/>
              </w:rPr>
              <w:t xml:space="preserve"> Kết cấu của bàn ghế</w:t>
            </w:r>
          </w:p>
          <w:p w:rsidR="00C152CA" w:rsidRPr="00C3103C" w:rsidRDefault="00C152CA" w:rsidP="005B79A5">
            <w:pPr>
              <w:keepNext/>
              <w:widowControl w:val="0"/>
              <w:ind w:firstLine="12"/>
              <w:jc w:val="both"/>
              <w:rPr>
                <w:b/>
                <w:sz w:val="24"/>
                <w:szCs w:val="24"/>
              </w:rPr>
            </w:pPr>
            <w:r w:rsidRPr="00C3103C">
              <w:rPr>
                <w:sz w:val="24"/>
                <w:szCs w:val="24"/>
              </w:rPr>
              <w:t>1. Bàn ghế được kết cấu chắc chắn, chịu được sự di chuyển thường xuyên.</w:t>
            </w:r>
          </w:p>
          <w:p w:rsidR="00C152CA" w:rsidRPr="00C3103C" w:rsidRDefault="00C152CA" w:rsidP="005B79A5">
            <w:pPr>
              <w:keepNext/>
              <w:widowControl w:val="0"/>
              <w:ind w:firstLine="12"/>
              <w:jc w:val="both"/>
              <w:rPr>
                <w:b/>
                <w:sz w:val="24"/>
                <w:szCs w:val="24"/>
              </w:rPr>
            </w:pPr>
            <w:r w:rsidRPr="00C3103C">
              <w:rPr>
                <w:sz w:val="24"/>
                <w:szCs w:val="24"/>
              </w:rPr>
              <w:lastRenderedPageBreak/>
              <w:t>2. Các ghép nối được liên kết chắc chắn, nhẵn, đẹp, bảo đảm an toàn cho người sử dụng.</w:t>
            </w:r>
          </w:p>
          <w:p w:rsidR="00C152CA" w:rsidRPr="00C3103C" w:rsidRDefault="00C152CA" w:rsidP="005B79A5">
            <w:pPr>
              <w:keepNext/>
              <w:widowControl w:val="0"/>
              <w:ind w:firstLine="12"/>
              <w:jc w:val="both"/>
              <w:rPr>
                <w:sz w:val="24"/>
                <w:szCs w:val="24"/>
              </w:rPr>
            </w:pPr>
            <w:r w:rsidRPr="00C3103C">
              <w:rPr>
                <w:b/>
                <w:sz w:val="24"/>
                <w:szCs w:val="24"/>
              </w:rPr>
              <w:t xml:space="preserve"> Nhãn bàn ghế </w:t>
            </w:r>
          </w:p>
          <w:p w:rsidR="00C152CA" w:rsidRPr="00C3103C" w:rsidRDefault="00C152CA" w:rsidP="005B79A5">
            <w:pPr>
              <w:keepNext/>
              <w:widowControl w:val="0"/>
              <w:ind w:firstLine="12"/>
              <w:jc w:val="both"/>
              <w:rPr>
                <w:sz w:val="24"/>
                <w:szCs w:val="24"/>
              </w:rPr>
            </w:pPr>
            <w:r w:rsidRPr="00C3103C">
              <w:rPr>
                <w:sz w:val="24"/>
                <w:szCs w:val="24"/>
              </w:rPr>
              <w:t xml:space="preserve">Bàn ghế phải có nhãn theo quy định tại Nghị định số 89/2006/NĐ-CP ngày 30 tháng 9 năm 2006 của Chính phủ về nhãn hàng hóa; nhãn được ghi rõ ràng, bền trong quá trình sử dụng và tối thiểu phải có những thông tin của tên sản phẩm, tên của nhà sản xuất (đối với bàn ghế nhập khẩu phải có tên, địa chỉ của tổ chức, cá nhân nhập khẩu và phân phối), năm sản xuất, cỡ số của sản phẩm. </w:t>
            </w:r>
          </w:p>
          <w:p w:rsidR="00C152CA" w:rsidRPr="00C3103C" w:rsidRDefault="00C152CA" w:rsidP="005B79A5">
            <w:pPr>
              <w:keepNext/>
              <w:widowControl w:val="0"/>
              <w:ind w:firstLine="12"/>
              <w:jc w:val="both"/>
              <w:rPr>
                <w:sz w:val="24"/>
                <w:szCs w:val="24"/>
              </w:rPr>
            </w:pPr>
            <w:r w:rsidRPr="00C3103C">
              <w:rPr>
                <w:b/>
                <w:sz w:val="24"/>
                <w:szCs w:val="24"/>
              </w:rPr>
              <w:t>Bố trí bàn ghế trong phòng học</w:t>
            </w:r>
          </w:p>
          <w:p w:rsidR="00C152CA" w:rsidRPr="00C3103C" w:rsidRDefault="00C152CA" w:rsidP="005B79A5">
            <w:pPr>
              <w:keepNext/>
              <w:widowControl w:val="0"/>
              <w:ind w:firstLine="12"/>
              <w:jc w:val="both"/>
              <w:rPr>
                <w:sz w:val="24"/>
                <w:szCs w:val="24"/>
              </w:rPr>
            </w:pPr>
            <w:r w:rsidRPr="00C3103C">
              <w:rPr>
                <w:sz w:val="24"/>
                <w:szCs w:val="24"/>
              </w:rPr>
              <w:t>1. Bàn ghế được bố trí phù hợp với đa số học sinh. Trong một phòng học có thể bố trí đồng thời nhiều cỡ số.</w:t>
            </w:r>
          </w:p>
          <w:p w:rsidR="00C152CA" w:rsidRPr="00C3103C" w:rsidRDefault="00C152CA" w:rsidP="005B79A5">
            <w:pPr>
              <w:keepNext/>
              <w:widowControl w:val="0"/>
              <w:ind w:firstLine="12"/>
              <w:jc w:val="both"/>
              <w:rPr>
                <w:sz w:val="24"/>
                <w:szCs w:val="24"/>
              </w:rPr>
            </w:pPr>
            <w:r w:rsidRPr="00C3103C">
              <w:rPr>
                <w:spacing w:val="-4"/>
                <w:sz w:val="24"/>
                <w:szCs w:val="24"/>
              </w:rPr>
              <w:t>2. Khoảng cách từ mép sau của hàng bàn đầu đến bảng phải bảo đảm cho học sinh ngồi ở vị trí trong cùng và vị trí ngoài cùng của hàng bàn đầu có góc nhìn đến tâm bảng không nhỏ hơn 30</w:t>
            </w:r>
            <w:r w:rsidRPr="00C3103C">
              <w:rPr>
                <w:spacing w:val="-4"/>
                <w:sz w:val="24"/>
                <w:szCs w:val="24"/>
                <w:vertAlign w:val="superscript"/>
              </w:rPr>
              <w:t xml:space="preserve">o </w:t>
            </w:r>
            <w:r w:rsidRPr="00C3103C">
              <w:rPr>
                <w:spacing w:val="-4"/>
                <w:sz w:val="24"/>
                <w:szCs w:val="24"/>
              </w:rPr>
              <w:t>và góc quay đầu tối đa không lớn hơn 60</w:t>
            </w:r>
            <w:r w:rsidRPr="00C3103C">
              <w:rPr>
                <w:spacing w:val="-4"/>
                <w:sz w:val="24"/>
                <w:szCs w:val="24"/>
                <w:vertAlign w:val="superscript"/>
              </w:rPr>
              <w:t>o</w:t>
            </w:r>
            <w:r w:rsidRPr="00C3103C">
              <w:rPr>
                <w:spacing w:val="-4"/>
                <w:sz w:val="24"/>
                <w:szCs w:val="24"/>
              </w:rPr>
              <w:t>.</w:t>
            </w:r>
          </w:p>
          <w:p w:rsidR="00C152CA" w:rsidRPr="00C3103C" w:rsidRDefault="00C152CA" w:rsidP="005B79A5">
            <w:pPr>
              <w:keepNext/>
              <w:widowControl w:val="0"/>
              <w:ind w:firstLine="12"/>
              <w:jc w:val="both"/>
              <w:rPr>
                <w:sz w:val="24"/>
                <w:szCs w:val="24"/>
              </w:rPr>
            </w:pPr>
            <w:r w:rsidRPr="00C3103C">
              <w:rPr>
                <w:sz w:val="24"/>
                <w:szCs w:val="24"/>
              </w:rPr>
              <w:t>3. Cách bố trí bàn ghế trong phòng học thông thường :</w:t>
            </w:r>
          </w:p>
          <w:tbl>
            <w:tblPr>
              <w:tblW w:w="7060" w:type="dxa"/>
              <w:jc w:val="center"/>
              <w:tblInd w:w="2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296"/>
              <w:gridCol w:w="1426"/>
            </w:tblGrid>
            <w:tr w:rsidR="00C152CA" w:rsidRPr="00C3103C" w:rsidTr="005B79A5">
              <w:trPr>
                <w:trHeight w:val="609"/>
                <w:jc w:val="center"/>
              </w:trPr>
              <w:tc>
                <w:tcPr>
                  <w:tcW w:w="4338" w:type="dxa"/>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jc w:val="center"/>
                    <w:rPr>
                      <w:b/>
                      <w:sz w:val="24"/>
                      <w:szCs w:val="24"/>
                    </w:rPr>
                  </w:pPr>
                  <w:r w:rsidRPr="00C3103C">
                    <w:rPr>
                      <w:b/>
                      <w:sz w:val="24"/>
                      <w:szCs w:val="24"/>
                    </w:rPr>
                    <w:t>Các cự ly cơ bản</w:t>
                  </w:r>
                </w:p>
              </w:tc>
              <w:tc>
                <w:tcPr>
                  <w:tcW w:w="1296" w:type="dxa"/>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ind w:left="-108"/>
                    <w:jc w:val="center"/>
                    <w:rPr>
                      <w:sz w:val="24"/>
                      <w:szCs w:val="24"/>
                    </w:rPr>
                  </w:pPr>
                  <w:r w:rsidRPr="00C3103C">
                    <w:rPr>
                      <w:b/>
                      <w:sz w:val="24"/>
                      <w:szCs w:val="24"/>
                    </w:rPr>
                    <w:t>Bàn hai chỗ ngồi</w:t>
                  </w:r>
                </w:p>
              </w:tc>
              <w:tc>
                <w:tcPr>
                  <w:tcW w:w="1426" w:type="dxa"/>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ind w:left="-108" w:right="-127"/>
                    <w:jc w:val="center"/>
                    <w:rPr>
                      <w:sz w:val="24"/>
                      <w:szCs w:val="24"/>
                    </w:rPr>
                  </w:pPr>
                  <w:r w:rsidRPr="00C3103C">
                    <w:rPr>
                      <w:b/>
                      <w:sz w:val="24"/>
                      <w:szCs w:val="24"/>
                    </w:rPr>
                    <w:t>Bàn một chỗ ngồi</w:t>
                  </w:r>
                </w:p>
              </w:tc>
            </w:tr>
            <w:tr w:rsidR="00C152CA" w:rsidRPr="00C3103C" w:rsidTr="005B79A5">
              <w:trPr>
                <w:jc w:val="center"/>
              </w:trPr>
              <w:tc>
                <w:tcPr>
                  <w:tcW w:w="433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both"/>
                    <w:rPr>
                      <w:spacing w:val="-8"/>
                      <w:sz w:val="24"/>
                      <w:szCs w:val="24"/>
                    </w:rPr>
                  </w:pPr>
                  <w:r w:rsidRPr="00C3103C">
                    <w:rPr>
                      <w:spacing w:val="-8"/>
                      <w:sz w:val="24"/>
                      <w:szCs w:val="24"/>
                    </w:rPr>
                    <w:t>1. Khoảng cách từ mép sau của hàng bàn đầu đến bảng (cm)</w:t>
                  </w:r>
                </w:p>
              </w:tc>
              <w:tc>
                <w:tcPr>
                  <w:tcW w:w="1296" w:type="dxa"/>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jc w:val="center"/>
                    <w:rPr>
                      <w:sz w:val="24"/>
                      <w:szCs w:val="24"/>
                    </w:rPr>
                  </w:pPr>
                  <w:r w:rsidRPr="00C3103C">
                    <w:rPr>
                      <w:sz w:val="24"/>
                      <w:szCs w:val="24"/>
                    </w:rPr>
                    <w:t>215</w:t>
                  </w:r>
                </w:p>
              </w:tc>
              <w:tc>
                <w:tcPr>
                  <w:tcW w:w="1426" w:type="dxa"/>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jc w:val="center"/>
                    <w:rPr>
                      <w:sz w:val="24"/>
                      <w:szCs w:val="24"/>
                    </w:rPr>
                  </w:pPr>
                  <w:r w:rsidRPr="00C3103C">
                    <w:rPr>
                      <w:sz w:val="24"/>
                      <w:szCs w:val="24"/>
                    </w:rPr>
                    <w:t>215</w:t>
                  </w:r>
                </w:p>
              </w:tc>
            </w:tr>
            <w:tr w:rsidR="00C152CA" w:rsidRPr="00C3103C" w:rsidTr="005B79A5">
              <w:trPr>
                <w:jc w:val="center"/>
              </w:trPr>
              <w:tc>
                <w:tcPr>
                  <w:tcW w:w="433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both"/>
                    <w:rPr>
                      <w:sz w:val="24"/>
                      <w:szCs w:val="24"/>
                    </w:rPr>
                  </w:pPr>
                  <w:r w:rsidRPr="00C3103C">
                    <w:rPr>
                      <w:sz w:val="24"/>
                      <w:szCs w:val="24"/>
                    </w:rPr>
                    <w:t>2. Khoảng cách giữa hai dãy bàn (cm)</w:t>
                  </w:r>
                </w:p>
              </w:tc>
              <w:tc>
                <w:tcPr>
                  <w:tcW w:w="1296"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80</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jc w:val="center"/>
                    <w:rPr>
                      <w:sz w:val="24"/>
                      <w:szCs w:val="24"/>
                    </w:rPr>
                  </w:pPr>
                  <w:r w:rsidRPr="00C3103C">
                    <w:rPr>
                      <w:sz w:val="24"/>
                      <w:szCs w:val="24"/>
                    </w:rPr>
                    <w:t>Kê ghép như với bàn hai chỗ ngồi  theo  các quy định như với bàn hai chỗ ngồi</w:t>
                  </w:r>
                </w:p>
              </w:tc>
            </w:tr>
            <w:tr w:rsidR="00C152CA" w:rsidRPr="00C3103C" w:rsidTr="005B79A5">
              <w:trPr>
                <w:jc w:val="center"/>
              </w:trPr>
              <w:tc>
                <w:tcPr>
                  <w:tcW w:w="433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both"/>
                    <w:rPr>
                      <w:sz w:val="24"/>
                      <w:szCs w:val="24"/>
                    </w:rPr>
                  </w:pPr>
                  <w:r w:rsidRPr="00C3103C">
                    <w:rPr>
                      <w:sz w:val="24"/>
                      <w:szCs w:val="24"/>
                    </w:rPr>
                    <w:t>3. Khoảng cách từ mép bàn đến tường của hướng ánh sáng chính chiếu vào phòng học (cm)</w:t>
                  </w:r>
                </w:p>
              </w:tc>
              <w:tc>
                <w:tcPr>
                  <w:tcW w:w="1296" w:type="dxa"/>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jc w:val="center"/>
                    <w:rPr>
                      <w:sz w:val="24"/>
                      <w:szCs w:val="24"/>
                    </w:rPr>
                  </w:pPr>
                  <w:r w:rsidRPr="00C3103C">
                    <w:rPr>
                      <w:sz w:val="24"/>
                      <w:szCs w:val="24"/>
                    </w:rPr>
                    <w:t>60</w:t>
                  </w:r>
                </w:p>
              </w:tc>
              <w:tc>
                <w:tcPr>
                  <w:tcW w:w="1426" w:type="dxa"/>
                  <w:vMerge/>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widowControl w:val="0"/>
                    <w:rPr>
                      <w:sz w:val="24"/>
                      <w:szCs w:val="24"/>
                    </w:rPr>
                  </w:pPr>
                </w:p>
              </w:tc>
            </w:tr>
            <w:tr w:rsidR="00C152CA" w:rsidRPr="00C3103C" w:rsidTr="005B79A5">
              <w:trPr>
                <w:jc w:val="center"/>
              </w:trPr>
              <w:tc>
                <w:tcPr>
                  <w:tcW w:w="433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both"/>
                    <w:rPr>
                      <w:spacing w:val="-8"/>
                      <w:sz w:val="24"/>
                      <w:szCs w:val="24"/>
                    </w:rPr>
                  </w:pPr>
                  <w:r w:rsidRPr="00C3103C">
                    <w:rPr>
                      <w:spacing w:val="-8"/>
                      <w:sz w:val="24"/>
                      <w:szCs w:val="24"/>
                    </w:rPr>
                    <w:t xml:space="preserve">4. Khoảng cách từ mép bàn đến tường không phải hướng ánh sáng chính chiếu vào phòng học (cm) </w:t>
                  </w:r>
                </w:p>
              </w:tc>
              <w:tc>
                <w:tcPr>
                  <w:tcW w:w="1296" w:type="dxa"/>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keepNext/>
                    <w:widowControl w:val="0"/>
                    <w:jc w:val="center"/>
                    <w:rPr>
                      <w:sz w:val="24"/>
                      <w:szCs w:val="24"/>
                    </w:rPr>
                  </w:pPr>
                  <w:r w:rsidRPr="00C3103C">
                    <w:rPr>
                      <w:sz w:val="24"/>
                      <w:szCs w:val="24"/>
                    </w:rPr>
                    <w:t>50</w:t>
                  </w:r>
                </w:p>
              </w:tc>
              <w:tc>
                <w:tcPr>
                  <w:tcW w:w="1426" w:type="dxa"/>
                  <w:vMerge/>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widowControl w:val="0"/>
                    <w:rPr>
                      <w:sz w:val="24"/>
                      <w:szCs w:val="24"/>
                    </w:rPr>
                  </w:pPr>
                </w:p>
              </w:tc>
            </w:tr>
            <w:tr w:rsidR="00C152CA" w:rsidRPr="00C3103C" w:rsidTr="005B79A5">
              <w:trPr>
                <w:jc w:val="center"/>
              </w:trPr>
              <w:tc>
                <w:tcPr>
                  <w:tcW w:w="433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both"/>
                    <w:rPr>
                      <w:sz w:val="24"/>
                      <w:szCs w:val="24"/>
                    </w:rPr>
                  </w:pPr>
                  <w:r w:rsidRPr="00C3103C">
                    <w:rPr>
                      <w:sz w:val="24"/>
                      <w:szCs w:val="24"/>
                    </w:rPr>
                    <w:t>5. Khoảng cách giữa hai hàng bàn (cm)</w:t>
                  </w:r>
                </w:p>
              </w:tc>
              <w:tc>
                <w:tcPr>
                  <w:tcW w:w="1296"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95 - 100</w:t>
                  </w:r>
                </w:p>
              </w:tc>
              <w:tc>
                <w:tcPr>
                  <w:tcW w:w="1426" w:type="dxa"/>
                  <w:vMerge/>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widowControl w:val="0"/>
                    <w:rPr>
                      <w:sz w:val="24"/>
                      <w:szCs w:val="24"/>
                    </w:rPr>
                  </w:pPr>
                </w:p>
              </w:tc>
            </w:tr>
            <w:tr w:rsidR="00C152CA" w:rsidRPr="00C3103C" w:rsidTr="005B79A5">
              <w:trPr>
                <w:trHeight w:val="368"/>
                <w:jc w:val="center"/>
              </w:trPr>
              <w:tc>
                <w:tcPr>
                  <w:tcW w:w="4338"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both"/>
                    <w:rPr>
                      <w:spacing w:val="-8"/>
                      <w:sz w:val="24"/>
                      <w:szCs w:val="24"/>
                    </w:rPr>
                  </w:pPr>
                  <w:r w:rsidRPr="00C3103C">
                    <w:rPr>
                      <w:spacing w:val="-8"/>
                      <w:sz w:val="24"/>
                      <w:szCs w:val="24"/>
                    </w:rPr>
                    <w:t>6. Khoảng cách từ hàng ghế cuối đến tường phía sau phòng học (cm)</w:t>
                  </w:r>
                </w:p>
              </w:tc>
              <w:tc>
                <w:tcPr>
                  <w:tcW w:w="1296" w:type="dxa"/>
                  <w:tcBorders>
                    <w:top w:val="single" w:sz="4" w:space="0" w:color="auto"/>
                    <w:left w:val="single" w:sz="4" w:space="0" w:color="auto"/>
                    <w:bottom w:val="single" w:sz="4" w:space="0" w:color="auto"/>
                    <w:right w:val="single" w:sz="4" w:space="0" w:color="auto"/>
                  </w:tcBorders>
                </w:tcPr>
                <w:p w:rsidR="00C152CA" w:rsidRPr="00C3103C" w:rsidRDefault="00C152CA" w:rsidP="005B79A5">
                  <w:pPr>
                    <w:keepNext/>
                    <w:widowControl w:val="0"/>
                    <w:jc w:val="center"/>
                    <w:rPr>
                      <w:sz w:val="24"/>
                      <w:szCs w:val="24"/>
                    </w:rPr>
                  </w:pPr>
                  <w:r w:rsidRPr="00C3103C">
                    <w:rPr>
                      <w:sz w:val="24"/>
                      <w:szCs w:val="24"/>
                    </w:rPr>
                    <w:t>40</w:t>
                  </w:r>
                </w:p>
              </w:tc>
              <w:tc>
                <w:tcPr>
                  <w:tcW w:w="1426" w:type="dxa"/>
                  <w:vMerge/>
                  <w:tcBorders>
                    <w:top w:val="single" w:sz="4" w:space="0" w:color="auto"/>
                    <w:left w:val="single" w:sz="4" w:space="0" w:color="auto"/>
                    <w:bottom w:val="single" w:sz="4" w:space="0" w:color="auto"/>
                    <w:right w:val="single" w:sz="4" w:space="0" w:color="auto"/>
                  </w:tcBorders>
                  <w:vAlign w:val="center"/>
                </w:tcPr>
                <w:p w:rsidR="00C152CA" w:rsidRPr="00C3103C" w:rsidRDefault="00C152CA" w:rsidP="005B79A5">
                  <w:pPr>
                    <w:widowControl w:val="0"/>
                    <w:rPr>
                      <w:sz w:val="24"/>
                      <w:szCs w:val="24"/>
                    </w:rPr>
                  </w:pPr>
                </w:p>
              </w:tc>
            </w:tr>
          </w:tbl>
          <w:p w:rsidR="00C152CA" w:rsidRPr="00C3103C" w:rsidRDefault="00C152CA" w:rsidP="005B79A5">
            <w:pPr>
              <w:widowControl w:val="0"/>
              <w:jc w:val="both"/>
              <w:rPr>
                <w:color w:val="000000"/>
                <w:sz w:val="24"/>
                <w:szCs w:val="24"/>
              </w:rPr>
            </w:pPr>
          </w:p>
        </w:tc>
      </w:tr>
      <w:tr w:rsidR="00C152CA" w:rsidRPr="00134FEF" w:rsidTr="005B79A5">
        <w:tc>
          <w:tcPr>
            <w:tcW w:w="2520" w:type="dxa"/>
            <w:shd w:val="clear" w:color="auto" w:fill="auto"/>
          </w:tcPr>
          <w:p w:rsidR="00C152CA" w:rsidRPr="00134FEF" w:rsidRDefault="00C152CA" w:rsidP="005B79A5">
            <w:pPr>
              <w:tabs>
                <w:tab w:val="left" w:pos="132"/>
              </w:tabs>
              <w:jc w:val="both"/>
              <w:rPr>
                <w:b/>
                <w:sz w:val="24"/>
                <w:szCs w:val="24"/>
              </w:rPr>
            </w:pPr>
            <w:r w:rsidRPr="00134FEF">
              <w:rPr>
                <w:b/>
                <w:sz w:val="24"/>
                <w:szCs w:val="24"/>
              </w:rPr>
              <w:lastRenderedPageBreak/>
              <w:t>Căn cứ pháp lý</w:t>
            </w:r>
          </w:p>
        </w:tc>
        <w:tc>
          <w:tcPr>
            <w:tcW w:w="7200" w:type="dxa"/>
            <w:shd w:val="clear" w:color="auto" w:fill="auto"/>
          </w:tcPr>
          <w:p w:rsidR="00C152CA" w:rsidRPr="00C3103C" w:rsidRDefault="00C152CA" w:rsidP="005B79A5">
            <w:pPr>
              <w:pStyle w:val="Heading1"/>
              <w:widowControl w:val="0"/>
              <w:shd w:val="clear" w:color="auto" w:fill="FFFFFF"/>
              <w:spacing w:before="0" w:after="0"/>
              <w:jc w:val="both"/>
              <w:textAlignment w:val="baseline"/>
              <w:rPr>
                <w:rFonts w:ascii="Times New Roman" w:hAnsi="Times New Roman" w:cs="Times New Roman"/>
                <w:b w:val="0"/>
                <w:i/>
                <w:sz w:val="24"/>
                <w:szCs w:val="24"/>
              </w:rPr>
            </w:pPr>
            <w:r w:rsidRPr="00C3103C">
              <w:rPr>
                <w:rFonts w:ascii="Times New Roman" w:hAnsi="Times New Roman" w:cs="Times New Roman"/>
                <w:b w:val="0"/>
                <w:i/>
                <w:sz w:val="24"/>
                <w:szCs w:val="24"/>
              </w:rPr>
              <w:t xml:space="preserve">- Thông tư số 17/2012/TT-BGDĐT ngày 16/5/2012 của Bộ Giáo dục Đào tạo </w:t>
            </w:r>
          </w:p>
          <w:p w:rsidR="00C152CA" w:rsidRPr="00C3103C" w:rsidRDefault="00C152CA" w:rsidP="005B79A5">
            <w:pPr>
              <w:widowControl w:val="0"/>
              <w:jc w:val="both"/>
              <w:rPr>
                <w:i/>
                <w:sz w:val="24"/>
                <w:szCs w:val="24"/>
              </w:rPr>
            </w:pPr>
            <w:r w:rsidRPr="00C3103C">
              <w:rPr>
                <w:i/>
                <w:sz w:val="24"/>
                <w:szCs w:val="24"/>
              </w:rPr>
              <w:t>- Quyết định số 1221/QĐ</w:t>
            </w:r>
            <w:r>
              <w:rPr>
                <w:i/>
                <w:sz w:val="24"/>
                <w:szCs w:val="24"/>
              </w:rPr>
              <w:t>-BYT ngày 18/4/2000 của Bộ Y tế</w:t>
            </w:r>
            <w:r w:rsidRPr="00C3103C">
              <w:rPr>
                <w:i/>
                <w:sz w:val="24"/>
                <w:szCs w:val="24"/>
              </w:rPr>
              <w:t>.</w:t>
            </w:r>
          </w:p>
          <w:p w:rsidR="00C152CA" w:rsidRPr="00C3103C" w:rsidRDefault="00C152CA" w:rsidP="005B79A5">
            <w:pPr>
              <w:widowControl w:val="0"/>
              <w:jc w:val="both"/>
              <w:rPr>
                <w:i/>
                <w:sz w:val="24"/>
                <w:szCs w:val="24"/>
              </w:rPr>
            </w:pPr>
            <w:r w:rsidRPr="00C3103C">
              <w:rPr>
                <w:i/>
                <w:sz w:val="24"/>
                <w:szCs w:val="24"/>
              </w:rPr>
              <w:t>- Thông tư liên tịch số 26/2011/TTLT-BGDĐT-BKHCN-BYT ngày 16/6/2011 của Bộ Giáo dục và Đào tạo, Bộ K</w:t>
            </w:r>
            <w:r>
              <w:rPr>
                <w:i/>
                <w:sz w:val="24"/>
                <w:szCs w:val="24"/>
              </w:rPr>
              <w:t>hoa học và Công nghệ và Bộ Y tế</w:t>
            </w:r>
            <w:r w:rsidRPr="00C3103C">
              <w:rPr>
                <w:i/>
                <w:sz w:val="24"/>
                <w:szCs w:val="24"/>
              </w:rPr>
              <w:t>.</w:t>
            </w:r>
          </w:p>
        </w:tc>
      </w:tr>
    </w:tbl>
    <w:p w:rsidR="00C152CA" w:rsidRDefault="00C152CA" w:rsidP="00C152CA">
      <w:pPr>
        <w:spacing w:after="120"/>
        <w:ind w:firstLine="709"/>
        <w:jc w:val="both"/>
        <w:rPr>
          <w:b/>
          <w:i/>
          <w:sz w:val="26"/>
          <w:szCs w:val="24"/>
        </w:rPr>
      </w:pPr>
    </w:p>
    <w:p w:rsidR="00AE2389" w:rsidRDefault="00AE2389">
      <w:bookmarkStart w:id="0" w:name="_GoBack"/>
      <w:bookmarkEnd w:id="0"/>
    </w:p>
    <w:sectPr w:rsidR="00A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CA"/>
    <w:rsid w:val="00AE2389"/>
    <w:rsid w:val="00C1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CA"/>
    <w:pPr>
      <w:spacing w:after="0" w:line="240" w:lineRule="auto"/>
    </w:pPr>
    <w:rPr>
      <w:rFonts w:eastAsia="Times New Roman" w:cs="Times New Roman"/>
      <w:szCs w:val="28"/>
    </w:rPr>
  </w:style>
  <w:style w:type="paragraph" w:styleId="Heading1">
    <w:name w:val="heading 1"/>
    <w:basedOn w:val="Normal"/>
    <w:next w:val="Normal"/>
    <w:link w:val="Heading1Char"/>
    <w:qFormat/>
    <w:rsid w:val="00C152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2CA"/>
    <w:rPr>
      <w:rFonts w:ascii="Arial" w:eastAsia="Times New Roman" w:hAnsi="Arial" w:cs="Arial"/>
      <w:b/>
      <w:bCs/>
      <w:kern w:val="32"/>
      <w:sz w:val="32"/>
      <w:szCs w:val="32"/>
    </w:rPr>
  </w:style>
  <w:style w:type="paragraph" w:styleId="BodyText">
    <w:name w:val="Body Text"/>
    <w:basedOn w:val="Normal"/>
    <w:link w:val="BodyTextChar"/>
    <w:uiPriority w:val="99"/>
    <w:rsid w:val="00C152CA"/>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C152CA"/>
    <w:rPr>
      <w:rFonts w:eastAsia="Batang" w:cs="Times New Roman"/>
      <w:sz w:val="22"/>
      <w:lang w:eastAsia="ko-KR"/>
    </w:rPr>
  </w:style>
  <w:style w:type="character" w:styleId="Strong">
    <w:name w:val="Strong"/>
    <w:uiPriority w:val="22"/>
    <w:qFormat/>
    <w:rsid w:val="00C152CA"/>
    <w:rPr>
      <w:b/>
      <w:bCs/>
    </w:rPr>
  </w:style>
  <w:style w:type="paragraph" w:styleId="NormalWeb">
    <w:name w:val="Normal (Web)"/>
    <w:basedOn w:val="Normal"/>
    <w:uiPriority w:val="99"/>
    <w:rsid w:val="00C152CA"/>
    <w:pPr>
      <w:spacing w:before="100" w:beforeAutospacing="1" w:after="100" w:afterAutospacing="1"/>
    </w:pPr>
    <w:rPr>
      <w:sz w:val="24"/>
      <w:szCs w:val="24"/>
    </w:rPr>
  </w:style>
  <w:style w:type="paragraph" w:customStyle="1" w:styleId="sonvb">
    <w:name w:val="son vb"/>
    <w:basedOn w:val="Normal"/>
    <w:link w:val="sonvbChar"/>
    <w:qFormat/>
    <w:rsid w:val="00C152CA"/>
    <w:pPr>
      <w:spacing w:after="120" w:line="360" w:lineRule="auto"/>
      <w:ind w:firstLine="720"/>
      <w:jc w:val="both"/>
    </w:pPr>
    <w:rPr>
      <w:rFonts w:eastAsia="Arial"/>
      <w:lang/>
    </w:rPr>
  </w:style>
  <w:style w:type="character" w:customStyle="1" w:styleId="sonvbChar">
    <w:name w:val="son vb Char"/>
    <w:link w:val="sonvb"/>
    <w:rsid w:val="00C152CA"/>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CA"/>
    <w:pPr>
      <w:spacing w:after="0" w:line="240" w:lineRule="auto"/>
    </w:pPr>
    <w:rPr>
      <w:rFonts w:eastAsia="Times New Roman" w:cs="Times New Roman"/>
      <w:szCs w:val="28"/>
    </w:rPr>
  </w:style>
  <w:style w:type="paragraph" w:styleId="Heading1">
    <w:name w:val="heading 1"/>
    <w:basedOn w:val="Normal"/>
    <w:next w:val="Normal"/>
    <w:link w:val="Heading1Char"/>
    <w:qFormat/>
    <w:rsid w:val="00C152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2CA"/>
    <w:rPr>
      <w:rFonts w:ascii="Arial" w:eastAsia="Times New Roman" w:hAnsi="Arial" w:cs="Arial"/>
      <w:b/>
      <w:bCs/>
      <w:kern w:val="32"/>
      <w:sz w:val="32"/>
      <w:szCs w:val="32"/>
    </w:rPr>
  </w:style>
  <w:style w:type="paragraph" w:styleId="BodyText">
    <w:name w:val="Body Text"/>
    <w:basedOn w:val="Normal"/>
    <w:link w:val="BodyTextChar"/>
    <w:uiPriority w:val="99"/>
    <w:rsid w:val="00C152CA"/>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C152CA"/>
    <w:rPr>
      <w:rFonts w:eastAsia="Batang" w:cs="Times New Roman"/>
      <w:sz w:val="22"/>
      <w:lang w:eastAsia="ko-KR"/>
    </w:rPr>
  </w:style>
  <w:style w:type="character" w:styleId="Strong">
    <w:name w:val="Strong"/>
    <w:uiPriority w:val="22"/>
    <w:qFormat/>
    <w:rsid w:val="00C152CA"/>
    <w:rPr>
      <w:b/>
      <w:bCs/>
    </w:rPr>
  </w:style>
  <w:style w:type="paragraph" w:styleId="NormalWeb">
    <w:name w:val="Normal (Web)"/>
    <w:basedOn w:val="Normal"/>
    <w:uiPriority w:val="99"/>
    <w:rsid w:val="00C152CA"/>
    <w:pPr>
      <w:spacing w:before="100" w:beforeAutospacing="1" w:after="100" w:afterAutospacing="1"/>
    </w:pPr>
    <w:rPr>
      <w:sz w:val="24"/>
      <w:szCs w:val="24"/>
    </w:rPr>
  </w:style>
  <w:style w:type="paragraph" w:customStyle="1" w:styleId="sonvb">
    <w:name w:val="son vb"/>
    <w:basedOn w:val="Normal"/>
    <w:link w:val="sonvbChar"/>
    <w:qFormat/>
    <w:rsid w:val="00C152CA"/>
    <w:pPr>
      <w:spacing w:after="120" w:line="360" w:lineRule="auto"/>
      <w:ind w:firstLine="720"/>
      <w:jc w:val="both"/>
    </w:pPr>
    <w:rPr>
      <w:rFonts w:eastAsia="Arial"/>
      <w:lang/>
    </w:rPr>
  </w:style>
  <w:style w:type="character" w:customStyle="1" w:styleId="sonvbChar">
    <w:name w:val="son vb Char"/>
    <w:link w:val="sonvb"/>
    <w:rsid w:val="00C152CA"/>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2018-11-29T05:38:00Z</dcterms:created>
  <dcterms:modified xsi:type="dcterms:W3CDTF">2018-11-29T05:38:00Z</dcterms:modified>
</cp:coreProperties>
</file>